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81C" w:rsidRPr="00E5681C" w:rsidRDefault="00E5681C" w:rsidP="00E5681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5681C">
        <w:rPr>
          <w:rFonts w:ascii="Times New Roman" w:eastAsia="Times New Roman" w:hAnsi="Times New Roman" w:cs="Times New Roman"/>
          <w:b/>
          <w:bCs/>
          <w:kern w:val="36"/>
          <w:sz w:val="48"/>
          <w:szCs w:val="48"/>
          <w:lang w:eastAsia="fr-FR"/>
        </w:rPr>
        <w:t>Nucléaire : Un gouvernement hors la loi, soumis aux lobbys</w:t>
      </w:r>
      <w:r>
        <w:rPr>
          <w:rFonts w:ascii="Times New Roman" w:eastAsia="Times New Roman" w:hAnsi="Times New Roman" w:cs="Times New Roman"/>
          <w:b/>
          <w:bCs/>
          <w:kern w:val="36"/>
          <w:sz w:val="48"/>
          <w:szCs w:val="48"/>
          <w:lang w:eastAsia="fr-FR"/>
        </w:rPr>
        <w:t xml:space="preserve"> </w:t>
      </w:r>
      <w:r w:rsidRPr="00E5681C">
        <w:rPr>
          <w:rFonts w:ascii="Times New Roman" w:eastAsia="Times New Roman" w:hAnsi="Times New Roman" w:cs="Times New Roman"/>
          <w:b/>
          <w:bCs/>
          <w:kern w:val="36"/>
          <w:sz w:val="24"/>
          <w:szCs w:val="24"/>
          <w:lang w:eastAsia="fr-FR"/>
        </w:rPr>
        <w:t>m</w:t>
      </w:r>
      <w:r w:rsidRPr="00E5681C">
        <w:rPr>
          <w:rFonts w:ascii="Times New Roman" w:eastAsia="Times New Roman" w:hAnsi="Times New Roman" w:cs="Times New Roman"/>
          <w:sz w:val="24"/>
          <w:szCs w:val="24"/>
          <w:lang w:eastAsia="fr-FR"/>
        </w:rPr>
        <w:t xml:space="preserve">ercredi 8 novembre 2017, par </w:t>
      </w:r>
      <w:hyperlink r:id="rId6" w:history="1">
        <w:r w:rsidRPr="00E5681C">
          <w:rPr>
            <w:rFonts w:ascii="Times New Roman" w:eastAsia="Times New Roman" w:hAnsi="Times New Roman" w:cs="Times New Roman"/>
            <w:color w:val="0000FF"/>
            <w:sz w:val="24"/>
            <w:szCs w:val="24"/>
            <w:u w:val="single"/>
            <w:lang w:eastAsia="fr-FR"/>
          </w:rPr>
          <w:t>Attac France</w:t>
        </w:r>
      </w:hyperlink>
    </w:p>
    <w:p w:rsidR="00E5681C" w:rsidRPr="00E5681C" w:rsidRDefault="00E5681C" w:rsidP="00E5681C">
      <w:pPr>
        <w:spacing w:before="100" w:beforeAutospacing="1" w:after="100" w:afterAutospacing="1" w:line="240" w:lineRule="auto"/>
        <w:rPr>
          <w:rFonts w:ascii="Times New Roman" w:eastAsia="Times New Roman" w:hAnsi="Times New Roman" w:cs="Times New Roman"/>
          <w:sz w:val="24"/>
          <w:szCs w:val="24"/>
          <w:lang w:eastAsia="fr-FR"/>
        </w:rPr>
      </w:pPr>
      <w:r w:rsidRPr="00E5681C">
        <w:rPr>
          <w:rFonts w:ascii="Times New Roman" w:eastAsia="Times New Roman" w:hAnsi="Times New Roman" w:cs="Times New Roman"/>
          <w:sz w:val="24"/>
          <w:szCs w:val="24"/>
          <w:lang w:eastAsia="fr-FR"/>
        </w:rPr>
        <w:t>Dans la foulée d’une déclaration d’une filiale d’EDF, le ministre de la Transition écologique et solidaire a annoncé mardi 7 novembre qu’il ne respecterait pas la loi de Transition énergétique fixant un maximum de 50 % de nucléaire dans le mix électrique en 2025. Pointant le rôle majeur du lobby nucléaire dans cette décision, Attac France déplore que Nicolas Hulot instrumentalise la crise climatique pour justifier une nouvelle reculade du gouvernement en matière d’écologie : repousser, encore et encore, le désengagement du nucléaire conduit, inéluctablement, à repousser le déploiement des énergies renouvelables.</w:t>
      </w:r>
    </w:p>
    <w:p w:rsidR="00E5681C" w:rsidRPr="00E5681C" w:rsidRDefault="00E5681C" w:rsidP="00E5681C">
      <w:pPr>
        <w:spacing w:after="0" w:line="240" w:lineRule="auto"/>
        <w:rPr>
          <w:rFonts w:ascii="Times New Roman" w:eastAsia="Times New Roman" w:hAnsi="Times New Roman" w:cs="Times New Roman"/>
          <w:sz w:val="24"/>
          <w:szCs w:val="24"/>
          <w:lang w:eastAsia="fr-FR"/>
        </w:rPr>
      </w:pPr>
      <w:bookmarkStart w:id="0" w:name="_GoBack"/>
      <w:r w:rsidRPr="00E5681C">
        <w:rPr>
          <w:rFonts w:ascii="Times New Roman" w:eastAsia="Times New Roman" w:hAnsi="Times New Roman" w:cs="Times New Roman"/>
          <w:noProof/>
          <w:sz w:val="24"/>
          <w:szCs w:val="24"/>
          <w:lang w:eastAsia="fr-FR"/>
        </w:rPr>
        <w:drawing>
          <wp:inline distT="0" distB="0" distL="0" distR="0" wp14:anchorId="34192410" wp14:editId="4389396D">
            <wp:extent cx="5943600" cy="3333750"/>
            <wp:effectExtent l="0" t="0" r="0" b="0"/>
            <wp:docPr id="1" name="Image 1" descr="https://france.attac.org/local/cache-vignettes/L1000xH417/arton5734-a3da7-96139.jpg?151015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rance.attac.org/local/cache-vignettes/L1000xH417/arton5734-a3da7-96139.jpg?15101505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33750"/>
                    </a:xfrm>
                    <a:prstGeom prst="rect">
                      <a:avLst/>
                    </a:prstGeom>
                    <a:noFill/>
                    <a:ln>
                      <a:noFill/>
                    </a:ln>
                  </pic:spPr>
                </pic:pic>
              </a:graphicData>
            </a:graphic>
          </wp:inline>
        </w:drawing>
      </w:r>
      <w:bookmarkEnd w:id="0"/>
    </w:p>
    <w:p w:rsidR="00E5681C" w:rsidRPr="00E5681C" w:rsidRDefault="00E5681C" w:rsidP="00E5681C">
      <w:pPr>
        <w:spacing w:before="100" w:beforeAutospacing="1" w:after="100" w:afterAutospacing="1" w:line="240" w:lineRule="auto"/>
        <w:rPr>
          <w:rFonts w:ascii="Times New Roman" w:eastAsia="Times New Roman" w:hAnsi="Times New Roman" w:cs="Times New Roman"/>
          <w:sz w:val="24"/>
          <w:szCs w:val="24"/>
          <w:lang w:eastAsia="fr-FR"/>
        </w:rPr>
      </w:pPr>
      <w:r w:rsidRPr="00E5681C">
        <w:rPr>
          <w:rFonts w:ascii="Times New Roman" w:eastAsia="Times New Roman" w:hAnsi="Times New Roman" w:cs="Times New Roman"/>
          <w:sz w:val="24"/>
          <w:szCs w:val="24"/>
          <w:lang w:eastAsia="fr-FR"/>
        </w:rPr>
        <w:t>Par son annonce, Nicolas Hulot reprend à son compte et légitime le discours éculé et infondé des lobbys nucléaires français sommant l’opinion publique de choisir entre l’ambition climatique et la fermeture des réacteurs nucléaires. S’appuyant sur les projections de RTE et EDF plutôt que sur les scenarios alternatifs présentés dans le cadre du débat sur la loi de transition énergétique (LTE), Nicolas Hulot se place hors la loi et se fait porte-parole du lobby nucléaire. C’est d’autant plus inacceptable que l’argument avancé - « l’objectif des 50 % de nucléaire conduit à une augmentation des émissions de CO</w:t>
      </w:r>
      <w:r w:rsidRPr="00E5681C">
        <w:rPr>
          <w:rFonts w:ascii="Times New Roman" w:eastAsia="Times New Roman" w:hAnsi="Times New Roman" w:cs="Times New Roman"/>
          <w:sz w:val="24"/>
          <w:szCs w:val="24"/>
          <w:vertAlign w:val="subscript"/>
          <w:lang w:eastAsia="fr-FR"/>
        </w:rPr>
        <w:t>2</w:t>
      </w:r>
      <w:r w:rsidRPr="00E5681C">
        <w:rPr>
          <w:rFonts w:ascii="Times New Roman" w:eastAsia="Times New Roman" w:hAnsi="Times New Roman" w:cs="Times New Roman"/>
          <w:sz w:val="24"/>
          <w:szCs w:val="24"/>
          <w:lang w:eastAsia="fr-FR"/>
        </w:rPr>
        <w:t xml:space="preserve"> du système électrique français » - est infondé : couplée à des politiques d’efficacité et de sobriété réellement ambitieuses, la fermeture des centrales nucléaires facilitera le déploiement des énergies renouvelables – en laissant de la place – et la réduction des émissions de gaz à effet de serre pour le système énergétique pris dans son ensemble.</w:t>
      </w:r>
    </w:p>
    <w:p w:rsidR="00E5681C" w:rsidRPr="00E5681C" w:rsidRDefault="00E5681C" w:rsidP="00E5681C">
      <w:pPr>
        <w:spacing w:before="100" w:beforeAutospacing="1" w:after="100" w:afterAutospacing="1" w:line="240" w:lineRule="auto"/>
        <w:rPr>
          <w:rFonts w:ascii="Times New Roman" w:eastAsia="Times New Roman" w:hAnsi="Times New Roman" w:cs="Times New Roman"/>
          <w:sz w:val="24"/>
          <w:szCs w:val="24"/>
          <w:lang w:eastAsia="fr-FR"/>
        </w:rPr>
      </w:pPr>
      <w:r w:rsidRPr="00E5681C">
        <w:rPr>
          <w:rFonts w:ascii="Times New Roman" w:eastAsia="Times New Roman" w:hAnsi="Times New Roman" w:cs="Times New Roman"/>
          <w:sz w:val="24"/>
          <w:szCs w:val="24"/>
          <w:lang w:eastAsia="fr-FR"/>
        </w:rPr>
        <w:t xml:space="preserve">De fait, Nicolas Hulot n’a pas seulement repoussé l’objectif des 50 %, il hypothèque sérieusement le déploiement des énergies renouvelables alors que les investissements dans les énergies renouvelables sont en baisse sur les deux dernières années en France et que l’une des promesses de campagne d’Emmanuel Macron visait justement à « doubler la capacité en </w:t>
      </w:r>
      <w:r w:rsidRPr="00E5681C">
        <w:rPr>
          <w:rFonts w:ascii="Times New Roman" w:eastAsia="Times New Roman" w:hAnsi="Times New Roman" w:cs="Times New Roman"/>
          <w:sz w:val="24"/>
          <w:szCs w:val="24"/>
          <w:lang w:eastAsia="fr-FR"/>
        </w:rPr>
        <w:lastRenderedPageBreak/>
        <w:t>éolien et en solaire photovoltaïque d’ici à 2022 ». Nicolas Hulot et le gouvernement ne devraient pas se cacher derrière les arguments des lobbys nucléaires pour enterrer toute ambition en matière de transition énergétique.</w:t>
      </w:r>
    </w:p>
    <w:p w:rsidR="00E5681C" w:rsidRPr="00E5681C" w:rsidRDefault="00E5681C" w:rsidP="00E5681C">
      <w:pPr>
        <w:spacing w:before="100" w:beforeAutospacing="1" w:after="100" w:afterAutospacing="1" w:line="240" w:lineRule="auto"/>
        <w:rPr>
          <w:rFonts w:ascii="Times New Roman" w:eastAsia="Times New Roman" w:hAnsi="Times New Roman" w:cs="Times New Roman"/>
          <w:sz w:val="24"/>
          <w:szCs w:val="24"/>
          <w:lang w:eastAsia="fr-FR"/>
        </w:rPr>
      </w:pPr>
      <w:r w:rsidRPr="00E5681C">
        <w:rPr>
          <w:rFonts w:ascii="Times New Roman" w:eastAsia="Times New Roman" w:hAnsi="Times New Roman" w:cs="Times New Roman"/>
          <w:sz w:val="24"/>
          <w:szCs w:val="24"/>
          <w:lang w:eastAsia="fr-FR"/>
        </w:rPr>
        <w:t>Cette annonce de Nicolas Hulot intervient le lendemain de la clôture du 3</w:t>
      </w:r>
      <w:r w:rsidRPr="00E5681C">
        <w:rPr>
          <w:rFonts w:ascii="Times New Roman" w:eastAsia="Times New Roman" w:hAnsi="Times New Roman" w:cs="Times New Roman"/>
          <w:sz w:val="24"/>
          <w:szCs w:val="24"/>
          <w:vertAlign w:val="superscript"/>
          <w:lang w:eastAsia="fr-FR"/>
        </w:rPr>
        <w:t>e</w:t>
      </w:r>
      <w:r w:rsidRPr="00E5681C">
        <w:rPr>
          <w:rFonts w:ascii="Times New Roman" w:eastAsia="Times New Roman" w:hAnsi="Times New Roman" w:cs="Times New Roman"/>
          <w:sz w:val="24"/>
          <w:szCs w:val="24"/>
          <w:lang w:eastAsia="fr-FR"/>
        </w:rPr>
        <w:t xml:space="preserve"> Forum social mondial antinucléaire à Paris qui a été un véritable succès et a rassemblé plus de 400 </w:t>
      </w:r>
      <w:proofErr w:type="spellStart"/>
      <w:r w:rsidRPr="00E5681C">
        <w:rPr>
          <w:rFonts w:ascii="Times New Roman" w:eastAsia="Times New Roman" w:hAnsi="Times New Roman" w:cs="Times New Roman"/>
          <w:sz w:val="24"/>
          <w:szCs w:val="24"/>
          <w:lang w:eastAsia="fr-FR"/>
        </w:rPr>
        <w:t>participant·e·s</w:t>
      </w:r>
      <w:proofErr w:type="spellEnd"/>
      <w:r w:rsidRPr="00E5681C">
        <w:rPr>
          <w:rFonts w:ascii="Times New Roman" w:eastAsia="Times New Roman" w:hAnsi="Times New Roman" w:cs="Times New Roman"/>
          <w:sz w:val="24"/>
          <w:szCs w:val="24"/>
          <w:lang w:eastAsia="fr-FR"/>
        </w:rPr>
        <w:t xml:space="preserve"> venant de 20 pays du monde entier. À cette occasion, Attac France, en partenariat avec l’Observatoire des </w:t>
      </w:r>
      <w:proofErr w:type="gramStart"/>
      <w:r w:rsidRPr="00E5681C">
        <w:rPr>
          <w:rFonts w:ascii="Times New Roman" w:eastAsia="Times New Roman" w:hAnsi="Times New Roman" w:cs="Times New Roman"/>
          <w:sz w:val="24"/>
          <w:szCs w:val="24"/>
          <w:lang w:eastAsia="fr-FR"/>
        </w:rPr>
        <w:t>multinationales ,a</w:t>
      </w:r>
      <w:proofErr w:type="gramEnd"/>
      <w:r w:rsidRPr="00E5681C">
        <w:rPr>
          <w:rFonts w:ascii="Times New Roman" w:eastAsia="Times New Roman" w:hAnsi="Times New Roman" w:cs="Times New Roman"/>
          <w:sz w:val="24"/>
          <w:szCs w:val="24"/>
          <w:lang w:eastAsia="fr-FR"/>
        </w:rPr>
        <w:t xml:space="preserve"> publié une note de décryptage : « </w:t>
      </w:r>
      <w:hyperlink r:id="rId8" w:history="1">
        <w:r w:rsidRPr="00E5681C">
          <w:rPr>
            <w:rFonts w:ascii="Times New Roman" w:eastAsia="Times New Roman" w:hAnsi="Times New Roman" w:cs="Times New Roman"/>
            <w:color w:val="0000FF"/>
            <w:sz w:val="24"/>
            <w:szCs w:val="24"/>
            <w:u w:val="single"/>
            <w:lang w:eastAsia="fr-FR"/>
          </w:rPr>
          <w:t>Nucléaire et finance : le pouvoir des lobbies contre la démocratie</w:t>
        </w:r>
      </w:hyperlink>
      <w:r w:rsidRPr="00E5681C">
        <w:rPr>
          <w:rFonts w:ascii="Times New Roman" w:eastAsia="Times New Roman" w:hAnsi="Times New Roman" w:cs="Times New Roman"/>
          <w:sz w:val="24"/>
          <w:szCs w:val="24"/>
          <w:lang w:eastAsia="fr-FR"/>
        </w:rPr>
        <w:t xml:space="preserve"> ». </w:t>
      </w:r>
      <w:r w:rsidRPr="00E5681C">
        <w:rPr>
          <w:rFonts w:ascii="Times New Roman" w:eastAsia="Times New Roman" w:hAnsi="Times New Roman" w:cs="Times New Roman"/>
          <w:sz w:val="24"/>
          <w:szCs w:val="24"/>
          <w:lang w:eastAsia="fr-FR"/>
        </w:rPr>
        <w:br/>
        <w:t xml:space="preserve">Le recul de Nicolas Hulot illustre la </w:t>
      </w:r>
      <w:proofErr w:type="spellStart"/>
      <w:r w:rsidRPr="00E5681C">
        <w:rPr>
          <w:rFonts w:ascii="Times New Roman" w:eastAsia="Times New Roman" w:hAnsi="Times New Roman" w:cs="Times New Roman"/>
          <w:sz w:val="24"/>
          <w:szCs w:val="24"/>
          <w:lang w:eastAsia="fr-FR"/>
        </w:rPr>
        <w:t>toute puissance</w:t>
      </w:r>
      <w:proofErr w:type="spellEnd"/>
      <w:r w:rsidRPr="00E5681C">
        <w:rPr>
          <w:rFonts w:ascii="Times New Roman" w:eastAsia="Times New Roman" w:hAnsi="Times New Roman" w:cs="Times New Roman"/>
          <w:sz w:val="24"/>
          <w:szCs w:val="24"/>
          <w:lang w:eastAsia="fr-FR"/>
        </w:rPr>
        <w:t xml:space="preserve"> des lobbies nucléaires et financiers sur le politique énergétique du pays que nous décrivons dans cette note. Le fait de ne pas dire « non » à la recapitalisation d’Areva, « non » à la poursuite – financièrement désastreuse – de la construction de l’EPR de Flamanville, « non » aux investissements nucléaires à l’étranger dans des projets inutiles et controversés, « non » au dangereux projet CIGEO d’enfouissement profond des déchets nucléaires à Bure, traduisent le refus d’affronter le lobby nucléaire et de faire primer l’exigence écologique sur les rentes de situation qu’ils occupent.</w:t>
      </w:r>
    </w:p>
    <w:p w:rsidR="00E5681C" w:rsidRPr="00E5681C" w:rsidRDefault="00E5681C" w:rsidP="00E5681C">
      <w:pPr>
        <w:spacing w:before="100" w:beforeAutospacing="1" w:after="100" w:afterAutospacing="1" w:line="240" w:lineRule="auto"/>
        <w:rPr>
          <w:rFonts w:ascii="Times New Roman" w:eastAsia="Times New Roman" w:hAnsi="Times New Roman" w:cs="Times New Roman"/>
          <w:sz w:val="24"/>
          <w:szCs w:val="24"/>
          <w:lang w:eastAsia="fr-FR"/>
        </w:rPr>
      </w:pPr>
      <w:r w:rsidRPr="00E5681C">
        <w:rPr>
          <w:rFonts w:ascii="Times New Roman" w:eastAsia="Times New Roman" w:hAnsi="Times New Roman" w:cs="Times New Roman"/>
          <w:sz w:val="24"/>
          <w:szCs w:val="24"/>
          <w:lang w:eastAsia="fr-FR"/>
        </w:rPr>
        <w:t>« </w:t>
      </w:r>
      <w:hyperlink r:id="rId9" w:history="1">
        <w:r w:rsidRPr="00E5681C">
          <w:rPr>
            <w:rFonts w:ascii="Times New Roman" w:eastAsia="Times New Roman" w:hAnsi="Times New Roman" w:cs="Times New Roman"/>
            <w:color w:val="0000FF"/>
            <w:sz w:val="24"/>
            <w:szCs w:val="24"/>
            <w:u w:val="single"/>
            <w:lang w:eastAsia="fr-FR"/>
          </w:rPr>
          <w:t>Pas un euro de plus pour les énergies du passé, fossiles ou fissiles</w:t>
        </w:r>
      </w:hyperlink>
      <w:r w:rsidRPr="00E5681C">
        <w:rPr>
          <w:rFonts w:ascii="Times New Roman" w:eastAsia="Times New Roman" w:hAnsi="Times New Roman" w:cs="Times New Roman"/>
          <w:sz w:val="24"/>
          <w:szCs w:val="24"/>
          <w:lang w:eastAsia="fr-FR"/>
        </w:rPr>
        <w:t xml:space="preserve"> ». Voilà ce qui devrait guider la politique de transition énergétique du gouvernement et ce que nous exprimerons avec détermination, avec de nombreuses organisations et citoyens, en parallèle du Sommet international du climat à Paris, « One </w:t>
      </w:r>
      <w:proofErr w:type="spellStart"/>
      <w:r w:rsidRPr="00E5681C">
        <w:rPr>
          <w:rFonts w:ascii="Times New Roman" w:eastAsia="Times New Roman" w:hAnsi="Times New Roman" w:cs="Times New Roman"/>
          <w:sz w:val="24"/>
          <w:szCs w:val="24"/>
          <w:lang w:eastAsia="fr-FR"/>
        </w:rPr>
        <w:t>Planete</w:t>
      </w:r>
      <w:proofErr w:type="spellEnd"/>
      <w:r w:rsidRPr="00E5681C">
        <w:rPr>
          <w:rFonts w:ascii="Times New Roman" w:eastAsia="Times New Roman" w:hAnsi="Times New Roman" w:cs="Times New Roman"/>
          <w:sz w:val="24"/>
          <w:szCs w:val="24"/>
          <w:lang w:eastAsia="fr-FR"/>
        </w:rPr>
        <w:t xml:space="preserve"> </w:t>
      </w:r>
      <w:proofErr w:type="spellStart"/>
      <w:r w:rsidRPr="00E5681C">
        <w:rPr>
          <w:rFonts w:ascii="Times New Roman" w:eastAsia="Times New Roman" w:hAnsi="Times New Roman" w:cs="Times New Roman"/>
          <w:sz w:val="24"/>
          <w:szCs w:val="24"/>
          <w:lang w:eastAsia="fr-FR"/>
        </w:rPr>
        <w:t>Sumit</w:t>
      </w:r>
      <w:proofErr w:type="spellEnd"/>
      <w:r w:rsidRPr="00E5681C">
        <w:rPr>
          <w:rFonts w:ascii="Times New Roman" w:eastAsia="Times New Roman" w:hAnsi="Times New Roman" w:cs="Times New Roman"/>
          <w:sz w:val="24"/>
          <w:szCs w:val="24"/>
          <w:lang w:eastAsia="fr-FR"/>
        </w:rPr>
        <w:t> </w:t>
      </w:r>
      <w:proofErr w:type="gramStart"/>
      <w:r w:rsidRPr="00E5681C">
        <w:rPr>
          <w:rFonts w:ascii="Times New Roman" w:eastAsia="Times New Roman" w:hAnsi="Times New Roman" w:cs="Times New Roman"/>
          <w:sz w:val="24"/>
          <w:szCs w:val="24"/>
          <w:lang w:eastAsia="fr-FR"/>
        </w:rPr>
        <w:t>» ,</w:t>
      </w:r>
      <w:proofErr w:type="gramEnd"/>
      <w:r w:rsidRPr="00E5681C">
        <w:rPr>
          <w:rFonts w:ascii="Times New Roman" w:eastAsia="Times New Roman" w:hAnsi="Times New Roman" w:cs="Times New Roman"/>
          <w:sz w:val="24"/>
          <w:szCs w:val="24"/>
          <w:lang w:eastAsia="fr-FR"/>
        </w:rPr>
        <w:t xml:space="preserve"> organisé par Emmanuel Macron le 12 décembre prochain.</w:t>
      </w:r>
    </w:p>
    <w:p w:rsidR="00C00A8E" w:rsidRDefault="00E5681C"/>
    <w:sectPr w:rsidR="00C00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57"/>
    <w:multiLevelType w:val="multilevel"/>
    <w:tmpl w:val="BE2E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1C"/>
    <w:rsid w:val="004A5169"/>
    <w:rsid w:val="00D33FC4"/>
    <w:rsid w:val="00E568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568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6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568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6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08495">
      <w:bodyDiv w:val="1"/>
      <w:marLeft w:val="0"/>
      <w:marRight w:val="0"/>
      <w:marTop w:val="0"/>
      <w:marBottom w:val="0"/>
      <w:divBdr>
        <w:top w:val="none" w:sz="0" w:space="0" w:color="auto"/>
        <w:left w:val="none" w:sz="0" w:space="0" w:color="auto"/>
        <w:bottom w:val="none" w:sz="0" w:space="0" w:color="auto"/>
        <w:right w:val="none" w:sz="0" w:space="0" w:color="auto"/>
      </w:divBdr>
      <w:divsChild>
        <w:div w:id="759830961">
          <w:marLeft w:val="0"/>
          <w:marRight w:val="0"/>
          <w:marTop w:val="0"/>
          <w:marBottom w:val="0"/>
          <w:divBdr>
            <w:top w:val="none" w:sz="0" w:space="0" w:color="auto"/>
            <w:left w:val="none" w:sz="0" w:space="0" w:color="auto"/>
            <w:bottom w:val="none" w:sz="0" w:space="0" w:color="auto"/>
            <w:right w:val="none" w:sz="0" w:space="0" w:color="auto"/>
          </w:divBdr>
        </w:div>
        <w:div w:id="305208731">
          <w:marLeft w:val="0"/>
          <w:marRight w:val="0"/>
          <w:marTop w:val="0"/>
          <w:marBottom w:val="0"/>
          <w:divBdr>
            <w:top w:val="none" w:sz="0" w:space="0" w:color="auto"/>
            <w:left w:val="none" w:sz="0" w:space="0" w:color="auto"/>
            <w:bottom w:val="none" w:sz="0" w:space="0" w:color="auto"/>
            <w:right w:val="none" w:sz="0" w:space="0" w:color="auto"/>
          </w:divBdr>
          <w:divsChild>
            <w:div w:id="1663118022">
              <w:marLeft w:val="0"/>
              <w:marRight w:val="0"/>
              <w:marTop w:val="0"/>
              <w:marBottom w:val="0"/>
              <w:divBdr>
                <w:top w:val="none" w:sz="0" w:space="0" w:color="auto"/>
                <w:left w:val="none" w:sz="0" w:space="0" w:color="auto"/>
                <w:bottom w:val="none" w:sz="0" w:space="0" w:color="auto"/>
                <w:right w:val="none" w:sz="0" w:space="0" w:color="auto"/>
              </w:divBdr>
            </w:div>
          </w:divsChild>
        </w:div>
        <w:div w:id="2130584615">
          <w:marLeft w:val="0"/>
          <w:marRight w:val="0"/>
          <w:marTop w:val="0"/>
          <w:marBottom w:val="0"/>
          <w:divBdr>
            <w:top w:val="none" w:sz="0" w:space="0" w:color="auto"/>
            <w:left w:val="none" w:sz="0" w:space="0" w:color="auto"/>
            <w:bottom w:val="none" w:sz="0" w:space="0" w:color="auto"/>
            <w:right w:val="none" w:sz="0" w:space="0" w:color="auto"/>
          </w:divBdr>
          <w:divsChild>
            <w:div w:id="1578056502">
              <w:marLeft w:val="0"/>
              <w:marRight w:val="0"/>
              <w:marTop w:val="0"/>
              <w:marBottom w:val="0"/>
              <w:divBdr>
                <w:top w:val="none" w:sz="0" w:space="0" w:color="auto"/>
                <w:left w:val="none" w:sz="0" w:space="0" w:color="auto"/>
                <w:bottom w:val="none" w:sz="0" w:space="0" w:color="auto"/>
                <w:right w:val="none" w:sz="0" w:space="0" w:color="auto"/>
              </w:divBdr>
            </w:div>
            <w:div w:id="893659312">
              <w:marLeft w:val="0"/>
              <w:marRight w:val="0"/>
              <w:marTop w:val="0"/>
              <w:marBottom w:val="0"/>
              <w:divBdr>
                <w:top w:val="none" w:sz="0" w:space="0" w:color="auto"/>
                <w:left w:val="none" w:sz="0" w:space="0" w:color="auto"/>
                <w:bottom w:val="none" w:sz="0" w:space="0" w:color="auto"/>
                <w:right w:val="none" w:sz="0" w:space="0" w:color="auto"/>
              </w:divBdr>
              <w:divsChild>
                <w:div w:id="804926367">
                  <w:marLeft w:val="0"/>
                  <w:marRight w:val="0"/>
                  <w:marTop w:val="0"/>
                  <w:marBottom w:val="0"/>
                  <w:divBdr>
                    <w:top w:val="none" w:sz="0" w:space="0" w:color="auto"/>
                    <w:left w:val="none" w:sz="0" w:space="0" w:color="auto"/>
                    <w:bottom w:val="none" w:sz="0" w:space="0" w:color="auto"/>
                    <w:right w:val="none" w:sz="0" w:space="0" w:color="auto"/>
                  </w:divBdr>
                </w:div>
                <w:div w:id="18982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e.attac.org/nos-publications/notes-et-rapports/article/nucleaire-et-finance-le-pouvoir-des-lobbies-contre-la-democratie"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nce.attac.org/auteur/attac-fran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suneurodeplus.inf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3366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PATINET</dc:creator>
  <cp:lastModifiedBy>Thierry PATINET</cp:lastModifiedBy>
  <cp:revision>1</cp:revision>
  <dcterms:created xsi:type="dcterms:W3CDTF">2018-02-10T09:00:00Z</dcterms:created>
  <dcterms:modified xsi:type="dcterms:W3CDTF">2018-02-10T09:02:00Z</dcterms:modified>
</cp:coreProperties>
</file>