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3B221A">
      <w:r>
        <w:t xml:space="preserve">La </w:t>
      </w:r>
      <w:proofErr w:type="spellStart"/>
      <w:r>
        <w:t>sociètè</w:t>
      </w:r>
      <w:proofErr w:type="spellEnd"/>
      <w:r>
        <w:t xml:space="preserve"> FAMEX envisage de lacer un projet d’investissement industriel qui consiste en la mise en place d’une nouvelle unité de production qui sera opérationnelle à compter de début N</w:t>
      </w:r>
      <w:r w:rsidR="00BB5C12">
        <w:t>+1</w:t>
      </w:r>
      <w:r>
        <w:t xml:space="preserve"> et qui impliquera :</w:t>
      </w:r>
    </w:p>
    <w:p w:rsidR="003B221A" w:rsidRDefault="003B221A" w:rsidP="00BB5C12">
      <w:pPr>
        <w:numPr>
          <w:ilvl w:val="0"/>
          <w:numId w:val="1"/>
        </w:numPr>
      </w:pPr>
      <w:r>
        <w:t>l’acquisition  au début N d’un terrain  dont la valeur est estimée à 2500 K DH ;</w:t>
      </w:r>
    </w:p>
    <w:p w:rsidR="003B221A" w:rsidRDefault="003B221A" w:rsidP="003B221A">
      <w:pPr>
        <w:numPr>
          <w:ilvl w:val="0"/>
          <w:numId w:val="1"/>
        </w:numPr>
      </w:pPr>
      <w:r>
        <w:t>la construction d’une usine pour un coût  global de 40000 KDH qui sera totalement engagé à l’achèvement des travaux prévus à la fin de N-1</w:t>
      </w:r>
    </w:p>
    <w:p w:rsidR="003B221A" w:rsidRDefault="003B221A" w:rsidP="003B221A">
      <w:pPr>
        <w:numPr>
          <w:ilvl w:val="0"/>
          <w:numId w:val="1"/>
        </w:numPr>
      </w:pPr>
      <w:r>
        <w:t xml:space="preserve">l’acquisition d’équipements pour un coût global  de 60000 KDH qui sera décaissé à concurrence de 50% au début N et 50% au début N+1. </w:t>
      </w:r>
    </w:p>
    <w:p w:rsidR="003B221A" w:rsidRDefault="003B221A" w:rsidP="003B221A">
      <w:pPr>
        <w:numPr>
          <w:ilvl w:val="0"/>
          <w:numId w:val="1"/>
        </w:numPr>
      </w:pPr>
      <w:r>
        <w:t>l’acquisition du matériel de transport pour un montant de 20000 KDH au début de l’année N</w:t>
      </w:r>
      <w:r w:rsidR="00BB5C12">
        <w:t>+1</w:t>
      </w:r>
    </w:p>
    <w:p w:rsidR="003B221A" w:rsidRDefault="00BB5C12" w:rsidP="003B221A">
      <w:pPr>
        <w:ind w:left="720"/>
      </w:pPr>
      <w:r>
        <w:t>D</w:t>
      </w:r>
      <w:r w:rsidR="003B221A">
        <w:t>e plus on dispose des informations suivantes :</w:t>
      </w:r>
    </w:p>
    <w:p w:rsidR="003B221A" w:rsidRDefault="003B221A" w:rsidP="003B221A">
      <w:pPr>
        <w:ind w:left="720"/>
      </w:pPr>
    </w:p>
    <w:p w:rsidR="003B221A" w:rsidRDefault="003B221A" w:rsidP="00BB5C12">
      <w:pPr>
        <w:numPr>
          <w:ilvl w:val="0"/>
          <w:numId w:val="2"/>
        </w:numPr>
      </w:pPr>
      <w:r>
        <w:t xml:space="preserve">perspectives de production retenues : </w:t>
      </w:r>
      <w:r w:rsidR="00BB5C12">
        <w:t>5000</w:t>
      </w:r>
      <w:r w:rsidR="00025C04">
        <w:t>0</w:t>
      </w:r>
      <w:r>
        <w:t xml:space="preserve"> unités en </w:t>
      </w:r>
      <w:r w:rsidR="00BB5C12">
        <w:t>N+1</w:t>
      </w:r>
      <w:r>
        <w:t> ; 2</w:t>
      </w:r>
      <w:r w:rsidR="00BB5C12">
        <w:t xml:space="preserve">0 % d’augmentation  </w:t>
      </w:r>
      <w:r>
        <w:t xml:space="preserve">pour les autres années </w:t>
      </w:r>
    </w:p>
    <w:p w:rsidR="003B221A" w:rsidRDefault="003B221A" w:rsidP="00BB5C12">
      <w:pPr>
        <w:numPr>
          <w:ilvl w:val="0"/>
          <w:numId w:val="2"/>
        </w:numPr>
      </w:pPr>
      <w:r>
        <w:t xml:space="preserve">le prix de vente unitaire moyen sera de </w:t>
      </w:r>
      <w:r w:rsidR="00BB5C12">
        <w:t>1000</w:t>
      </w:r>
      <w:r>
        <w:t xml:space="preserve"> DH</w:t>
      </w:r>
    </w:p>
    <w:p w:rsidR="003B221A" w:rsidRDefault="003B221A" w:rsidP="003B221A">
      <w:pPr>
        <w:numPr>
          <w:ilvl w:val="0"/>
          <w:numId w:val="2"/>
        </w:numPr>
      </w:pPr>
      <w:r>
        <w:t>l’estimation des charges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080"/>
        <w:gridCol w:w="1440"/>
        <w:gridCol w:w="1260"/>
        <w:gridCol w:w="1260"/>
        <w:gridCol w:w="1184"/>
      </w:tblGrid>
      <w:tr w:rsidR="003B221A" w:rsidTr="00C94E1F">
        <w:tc>
          <w:tcPr>
            <w:tcW w:w="2988" w:type="dxa"/>
          </w:tcPr>
          <w:p w:rsidR="003B221A" w:rsidRDefault="003B221A" w:rsidP="00C94E1F">
            <w:r>
              <w:t>Nature des charges</w:t>
            </w:r>
          </w:p>
        </w:tc>
        <w:tc>
          <w:tcPr>
            <w:tcW w:w="1080" w:type="dxa"/>
          </w:tcPr>
          <w:p w:rsidR="003B221A" w:rsidRDefault="00BB5C12" w:rsidP="00C94E1F">
            <w:r>
              <w:t>N+1</w:t>
            </w:r>
          </w:p>
        </w:tc>
        <w:tc>
          <w:tcPr>
            <w:tcW w:w="1440" w:type="dxa"/>
          </w:tcPr>
          <w:p w:rsidR="003B221A" w:rsidRDefault="00BB5C12" w:rsidP="00C94E1F">
            <w:r>
              <w:t>N+2</w:t>
            </w:r>
          </w:p>
        </w:tc>
        <w:tc>
          <w:tcPr>
            <w:tcW w:w="1260" w:type="dxa"/>
          </w:tcPr>
          <w:p w:rsidR="003B221A" w:rsidRDefault="00BB5C12" w:rsidP="00C94E1F">
            <w:r>
              <w:t>N+3</w:t>
            </w:r>
          </w:p>
        </w:tc>
        <w:tc>
          <w:tcPr>
            <w:tcW w:w="1260" w:type="dxa"/>
          </w:tcPr>
          <w:p w:rsidR="003B221A" w:rsidRDefault="00BB5C12" w:rsidP="00C94E1F">
            <w:r>
              <w:t>N+4</w:t>
            </w:r>
          </w:p>
        </w:tc>
        <w:tc>
          <w:tcPr>
            <w:tcW w:w="1184" w:type="dxa"/>
          </w:tcPr>
          <w:p w:rsidR="003B221A" w:rsidRDefault="00BB5C12" w:rsidP="00C94E1F">
            <w:r>
              <w:t>N+5</w:t>
            </w:r>
          </w:p>
        </w:tc>
      </w:tr>
      <w:tr w:rsidR="003B221A" w:rsidTr="00C94E1F">
        <w:tc>
          <w:tcPr>
            <w:tcW w:w="2988" w:type="dxa"/>
          </w:tcPr>
          <w:p w:rsidR="003B221A" w:rsidRDefault="003B221A" w:rsidP="00C94E1F">
            <w:r>
              <w:t>Charges variables (en KDH)</w:t>
            </w:r>
          </w:p>
        </w:tc>
        <w:tc>
          <w:tcPr>
            <w:tcW w:w="1080" w:type="dxa"/>
          </w:tcPr>
          <w:p w:rsidR="003B221A" w:rsidRDefault="00BB5C12" w:rsidP="00C94E1F">
            <w:r>
              <w:t>560</w:t>
            </w:r>
          </w:p>
        </w:tc>
        <w:tc>
          <w:tcPr>
            <w:tcW w:w="1440" w:type="dxa"/>
          </w:tcPr>
          <w:p w:rsidR="003B221A" w:rsidRDefault="00BB5C12" w:rsidP="00C94E1F">
            <w:r>
              <w:t>600</w:t>
            </w:r>
          </w:p>
        </w:tc>
        <w:tc>
          <w:tcPr>
            <w:tcW w:w="1260" w:type="dxa"/>
          </w:tcPr>
          <w:p w:rsidR="003B221A" w:rsidRDefault="00BB5C12" w:rsidP="00C94E1F">
            <w:r>
              <w:t>750</w:t>
            </w:r>
          </w:p>
        </w:tc>
        <w:tc>
          <w:tcPr>
            <w:tcW w:w="1260" w:type="dxa"/>
          </w:tcPr>
          <w:p w:rsidR="003B221A" w:rsidRDefault="00BB5C12" w:rsidP="00C94E1F">
            <w:r>
              <w:t>800</w:t>
            </w:r>
          </w:p>
        </w:tc>
        <w:tc>
          <w:tcPr>
            <w:tcW w:w="1184" w:type="dxa"/>
          </w:tcPr>
          <w:p w:rsidR="003B221A" w:rsidRDefault="00BB5C12" w:rsidP="00C94E1F">
            <w:r>
              <w:t>900</w:t>
            </w:r>
          </w:p>
        </w:tc>
      </w:tr>
      <w:tr w:rsidR="003B221A" w:rsidTr="00C94E1F">
        <w:tc>
          <w:tcPr>
            <w:tcW w:w="2988" w:type="dxa"/>
          </w:tcPr>
          <w:p w:rsidR="003B221A" w:rsidRDefault="003B221A" w:rsidP="00C94E1F">
            <w:r>
              <w:t>Charges fixes hors dotations d’amortissement (en KDH)</w:t>
            </w:r>
          </w:p>
        </w:tc>
        <w:tc>
          <w:tcPr>
            <w:tcW w:w="1080" w:type="dxa"/>
          </w:tcPr>
          <w:p w:rsidR="003B221A" w:rsidRDefault="00BB5C12" w:rsidP="00BB5C12">
            <w:r>
              <w:t>48</w:t>
            </w:r>
            <w:r w:rsidR="003B221A">
              <w:t>0</w:t>
            </w:r>
          </w:p>
        </w:tc>
        <w:tc>
          <w:tcPr>
            <w:tcW w:w="1440" w:type="dxa"/>
          </w:tcPr>
          <w:p w:rsidR="003B221A" w:rsidRDefault="00BB5C12" w:rsidP="00C94E1F">
            <w:r>
              <w:t>48</w:t>
            </w:r>
            <w:r w:rsidR="00B04A9D">
              <w:t>0</w:t>
            </w:r>
          </w:p>
        </w:tc>
        <w:tc>
          <w:tcPr>
            <w:tcW w:w="1260" w:type="dxa"/>
          </w:tcPr>
          <w:p w:rsidR="003B221A" w:rsidRDefault="00BB5C12" w:rsidP="00C94E1F">
            <w:r>
              <w:t>48</w:t>
            </w:r>
            <w:r w:rsidR="00B04A9D">
              <w:t>0</w:t>
            </w:r>
          </w:p>
        </w:tc>
        <w:tc>
          <w:tcPr>
            <w:tcW w:w="1260" w:type="dxa"/>
          </w:tcPr>
          <w:p w:rsidR="003B221A" w:rsidRDefault="00BB5C12" w:rsidP="00C94E1F">
            <w:r>
              <w:t>48</w:t>
            </w:r>
            <w:r w:rsidR="00B04A9D">
              <w:t>0</w:t>
            </w:r>
          </w:p>
        </w:tc>
        <w:tc>
          <w:tcPr>
            <w:tcW w:w="1184" w:type="dxa"/>
          </w:tcPr>
          <w:p w:rsidR="003B221A" w:rsidRDefault="00BB5C12" w:rsidP="00C94E1F">
            <w:r>
              <w:t>48</w:t>
            </w:r>
            <w:r w:rsidR="00B04A9D">
              <w:t>0</w:t>
            </w:r>
          </w:p>
        </w:tc>
      </w:tr>
    </w:tbl>
    <w:p w:rsidR="003B221A" w:rsidRDefault="003B221A" w:rsidP="003B221A">
      <w:pPr>
        <w:numPr>
          <w:ilvl w:val="0"/>
          <w:numId w:val="3"/>
        </w:numPr>
      </w:pPr>
      <w:r>
        <w:t>l’amor</w:t>
      </w:r>
      <w:r w:rsidR="00BB5C12">
        <w:t>tissement des constructions,</w:t>
      </w:r>
      <w:r>
        <w:t xml:space="preserve"> des équipements</w:t>
      </w:r>
      <w:r w:rsidR="00BB5C12">
        <w:t xml:space="preserve"> et du matériel de transport</w:t>
      </w:r>
      <w:r>
        <w:t xml:space="preserve">  se fera linéairement respectivement  sur 20 ans et 5 ans à compter de la date de mise en service.</w:t>
      </w:r>
    </w:p>
    <w:p w:rsidR="003B221A" w:rsidRDefault="003B221A" w:rsidP="00BB5C12">
      <w:pPr>
        <w:numPr>
          <w:ilvl w:val="0"/>
          <w:numId w:val="3"/>
        </w:numPr>
      </w:pPr>
      <w:r>
        <w:t xml:space="preserve">L’exploitation du projet induira un BFR évalué à </w:t>
      </w:r>
      <w:r w:rsidR="00BB5C12">
        <w:t>36</w:t>
      </w:r>
      <w:r>
        <w:t>j CAHT</w:t>
      </w:r>
    </w:p>
    <w:p w:rsidR="003B221A" w:rsidRDefault="003B221A" w:rsidP="00BB5C12">
      <w:pPr>
        <w:numPr>
          <w:ilvl w:val="0"/>
          <w:numId w:val="4"/>
        </w:numPr>
      </w:pPr>
      <w:r>
        <w:t xml:space="preserve">La viabilité économique de projet est estimée à  10 ans. Cependant, la direction souhaite limiter l’horizon d’évaluation à 5 ans au terme desquels une valeur de sortie (résiduelle) est prévue. Celle-ci sera égale la somme de  la valeur capitalisée sur 5 ans du dernier cash flow (CF de la 5 </w:t>
      </w:r>
      <w:proofErr w:type="spellStart"/>
      <w:r w:rsidRPr="00DC3D53">
        <w:rPr>
          <w:vertAlign w:val="superscript"/>
        </w:rPr>
        <w:t>ème</w:t>
      </w:r>
      <w:proofErr w:type="spellEnd"/>
      <w:r w:rsidRPr="00DC3D53">
        <w:rPr>
          <w:vertAlign w:val="superscript"/>
        </w:rPr>
        <w:t xml:space="preserve"> </w:t>
      </w:r>
      <w:r w:rsidR="00BB5C12">
        <w:t>année) au taux de capitalisation</w:t>
      </w:r>
      <w:r>
        <w:t xml:space="preserve"> </w:t>
      </w:r>
      <w:r w:rsidR="00BB5C12">
        <w:t>(12%</w:t>
      </w:r>
      <w:proofErr w:type="gramStart"/>
      <w:r w:rsidR="00BB5C12">
        <w:t>)</w:t>
      </w:r>
      <w:r>
        <w:t>et</w:t>
      </w:r>
      <w:proofErr w:type="gramEnd"/>
      <w:r>
        <w:t xml:space="preserve"> La récupération des BFR</w:t>
      </w:r>
    </w:p>
    <w:p w:rsidR="003B221A" w:rsidRDefault="003B221A" w:rsidP="00BB5C12">
      <w:pPr>
        <w:numPr>
          <w:ilvl w:val="0"/>
          <w:numId w:val="5"/>
        </w:numPr>
      </w:pPr>
      <w:r>
        <w:t xml:space="preserve">Concernant le taux d’actualisation, la direction préconise de retenir </w:t>
      </w:r>
      <w:r w:rsidR="00BB5C12">
        <w:t>le taux de 10%</w:t>
      </w:r>
    </w:p>
    <w:p w:rsidR="003B221A" w:rsidRDefault="003B221A" w:rsidP="003B221A">
      <w:pPr>
        <w:ind w:left="720"/>
      </w:pPr>
    </w:p>
    <w:p w:rsidR="00BB5C12" w:rsidRPr="00FB08D0" w:rsidRDefault="00BB5C12" w:rsidP="00BB5C12">
      <w:pPr>
        <w:ind w:left="360"/>
        <w:rPr>
          <w:b/>
        </w:rPr>
      </w:pPr>
      <w:r>
        <w:rPr>
          <w:b/>
        </w:rPr>
        <w:t>TAF</w:t>
      </w:r>
    </w:p>
    <w:p w:rsidR="00BB5C12" w:rsidRDefault="00BB5C12" w:rsidP="002C4AF9">
      <w:pPr>
        <w:ind w:left="360"/>
      </w:pPr>
      <w:r>
        <w:t xml:space="preserve">1- </w:t>
      </w:r>
      <w:r w:rsidR="002C4AF9">
        <w:t>D</w:t>
      </w:r>
      <w:r>
        <w:t>éterminer la dépense d’investissement associée à ce projet</w:t>
      </w:r>
    </w:p>
    <w:p w:rsidR="00BB5C12" w:rsidRDefault="002C4AF9" w:rsidP="00BB5C12">
      <w:pPr>
        <w:ind w:left="360"/>
      </w:pPr>
      <w:r>
        <w:t>2</w:t>
      </w:r>
      <w:r w:rsidR="00BB5C12">
        <w:t xml:space="preserve">- Déterminer les cash </w:t>
      </w:r>
      <w:proofErr w:type="spellStart"/>
      <w:r w:rsidR="00BB5C12">
        <w:t>flows</w:t>
      </w:r>
      <w:proofErr w:type="spellEnd"/>
      <w:r w:rsidR="00BB5C12">
        <w:t xml:space="preserve"> annuels du projet et sa valeur résiduelle </w:t>
      </w:r>
    </w:p>
    <w:p w:rsidR="00BB5C12" w:rsidRDefault="002C4AF9" w:rsidP="002C4AF9">
      <w:pPr>
        <w:ind w:left="360"/>
      </w:pPr>
      <w:r>
        <w:t>3</w:t>
      </w:r>
      <w:r w:rsidR="00BB5C12">
        <w:t xml:space="preserve">- Evaluer la rentabilité économique du projet en utilisant le critère de la </w:t>
      </w:r>
      <w:proofErr w:type="gramStart"/>
      <w:r w:rsidR="00BB5C12">
        <w:t>VAN ,</w:t>
      </w:r>
      <w:proofErr w:type="gramEnd"/>
      <w:r w:rsidR="00BB5C12">
        <w:t xml:space="preserve"> l’indice de profitabilité et le TRI</w:t>
      </w:r>
    </w:p>
    <w:p w:rsidR="00BB5C12" w:rsidRDefault="00BB5C12" w:rsidP="00BB5C12">
      <w:pPr>
        <w:ind w:left="360"/>
      </w:pPr>
    </w:p>
    <w:p w:rsidR="003B221A" w:rsidRDefault="003B221A" w:rsidP="003B221A">
      <w:pPr>
        <w:ind w:left="360"/>
      </w:pPr>
    </w:p>
    <w:p w:rsidR="00AD666C" w:rsidRDefault="00AD666C"/>
    <w:sectPr w:rsidR="00AD666C" w:rsidSect="001E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158"/>
    <w:multiLevelType w:val="hybridMultilevel"/>
    <w:tmpl w:val="BCD854E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E0A24"/>
    <w:multiLevelType w:val="hybridMultilevel"/>
    <w:tmpl w:val="4E28E0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703D2"/>
    <w:multiLevelType w:val="hybridMultilevel"/>
    <w:tmpl w:val="C9A8D1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A91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F3E1D"/>
    <w:multiLevelType w:val="hybridMultilevel"/>
    <w:tmpl w:val="57B65C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B2B2B"/>
    <w:multiLevelType w:val="hybridMultilevel"/>
    <w:tmpl w:val="E3025B8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B221A"/>
    <w:rsid w:val="00025C04"/>
    <w:rsid w:val="00037DE5"/>
    <w:rsid w:val="000A1CE2"/>
    <w:rsid w:val="000E0B24"/>
    <w:rsid w:val="001E509E"/>
    <w:rsid w:val="0024713E"/>
    <w:rsid w:val="00250AF3"/>
    <w:rsid w:val="00294873"/>
    <w:rsid w:val="002A0F8B"/>
    <w:rsid w:val="002B2D69"/>
    <w:rsid w:val="002C4AF9"/>
    <w:rsid w:val="002E68AC"/>
    <w:rsid w:val="0037115F"/>
    <w:rsid w:val="00373EA5"/>
    <w:rsid w:val="003B221A"/>
    <w:rsid w:val="003C5CC0"/>
    <w:rsid w:val="00411D73"/>
    <w:rsid w:val="00430A3A"/>
    <w:rsid w:val="004B22B0"/>
    <w:rsid w:val="004C6E38"/>
    <w:rsid w:val="00511638"/>
    <w:rsid w:val="00551255"/>
    <w:rsid w:val="00584C9B"/>
    <w:rsid w:val="005A2090"/>
    <w:rsid w:val="005B4880"/>
    <w:rsid w:val="005F50A0"/>
    <w:rsid w:val="00617E68"/>
    <w:rsid w:val="00626E58"/>
    <w:rsid w:val="006321BF"/>
    <w:rsid w:val="006477C1"/>
    <w:rsid w:val="006766B5"/>
    <w:rsid w:val="006B3E9E"/>
    <w:rsid w:val="006C04E6"/>
    <w:rsid w:val="006C7A47"/>
    <w:rsid w:val="006E12DE"/>
    <w:rsid w:val="006F0F10"/>
    <w:rsid w:val="007051CE"/>
    <w:rsid w:val="00800E85"/>
    <w:rsid w:val="00841A7C"/>
    <w:rsid w:val="008747E6"/>
    <w:rsid w:val="008C20E6"/>
    <w:rsid w:val="008D2006"/>
    <w:rsid w:val="008E79B2"/>
    <w:rsid w:val="009C1E2C"/>
    <w:rsid w:val="00A3260E"/>
    <w:rsid w:val="00A53183"/>
    <w:rsid w:val="00A53753"/>
    <w:rsid w:val="00A64A51"/>
    <w:rsid w:val="00A714F5"/>
    <w:rsid w:val="00A912B2"/>
    <w:rsid w:val="00A91644"/>
    <w:rsid w:val="00AD666C"/>
    <w:rsid w:val="00AF16F5"/>
    <w:rsid w:val="00B03881"/>
    <w:rsid w:val="00B04A9D"/>
    <w:rsid w:val="00B15B77"/>
    <w:rsid w:val="00B726AD"/>
    <w:rsid w:val="00BA7DA0"/>
    <w:rsid w:val="00BB5C12"/>
    <w:rsid w:val="00BD382A"/>
    <w:rsid w:val="00BE4DA3"/>
    <w:rsid w:val="00C745CA"/>
    <w:rsid w:val="00C8217D"/>
    <w:rsid w:val="00CC196C"/>
    <w:rsid w:val="00CF785A"/>
    <w:rsid w:val="00D13C0F"/>
    <w:rsid w:val="00D7508D"/>
    <w:rsid w:val="00DE5E56"/>
    <w:rsid w:val="00E36A16"/>
    <w:rsid w:val="00E87BE5"/>
    <w:rsid w:val="00F64979"/>
    <w:rsid w:val="00F67019"/>
    <w:rsid w:val="00F92FCE"/>
    <w:rsid w:val="00FB6FCF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1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2018-10-12T18:08:00Z</dcterms:created>
  <dcterms:modified xsi:type="dcterms:W3CDTF">2018-10-12T18:08:00Z</dcterms:modified>
</cp:coreProperties>
</file>