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47" w:rsidRPr="0007125D" w:rsidRDefault="001A7847" w:rsidP="001A7847">
      <w:pPr>
        <w:rPr>
          <w:rFonts w:ascii="Arial" w:hAnsi="Arial" w:cs="Arial"/>
          <w:b/>
          <w:bCs/>
          <w:i/>
          <w:iCs/>
          <w:u w:val="single"/>
        </w:rPr>
      </w:pPr>
      <w:r w:rsidRPr="0007125D">
        <w:rPr>
          <w:rFonts w:ascii="Arial" w:hAnsi="Arial" w:cs="Arial"/>
          <w:b/>
          <w:bCs/>
          <w:i/>
          <w:iCs/>
          <w:u w:val="single"/>
        </w:rPr>
        <w:t xml:space="preserve">Cas </w:t>
      </w:r>
      <w:r>
        <w:rPr>
          <w:rFonts w:ascii="Arial" w:hAnsi="Arial" w:cs="Arial"/>
          <w:b/>
          <w:bCs/>
          <w:i/>
          <w:iCs/>
          <w:u w:val="single"/>
        </w:rPr>
        <w:t>LUXOPTIC</w:t>
      </w:r>
    </w:p>
    <w:p w:rsidR="001A7847" w:rsidRPr="0007125D" w:rsidRDefault="001A7847" w:rsidP="001A7847">
      <w:pPr>
        <w:rPr>
          <w:rFonts w:ascii="Arial" w:hAnsi="Arial" w:cs="Arial"/>
          <w:b/>
          <w:bCs/>
          <w:i/>
          <w:iCs/>
          <w:u w:val="single"/>
        </w:rPr>
      </w:pPr>
    </w:p>
    <w:p w:rsidR="001A7847" w:rsidRPr="0007125D" w:rsidRDefault="001A7847" w:rsidP="001A7847">
      <w:pPr>
        <w:spacing w:line="276" w:lineRule="auto"/>
        <w:jc w:val="both"/>
        <w:rPr>
          <w:rFonts w:ascii="Arial" w:hAnsi="Arial" w:cs="Arial"/>
        </w:rPr>
      </w:pPr>
      <w:r>
        <w:rPr>
          <w:rFonts w:ascii="Arial" w:hAnsi="Arial" w:cs="Arial"/>
          <w:b/>
          <w:bCs/>
          <w:i/>
          <w:iCs/>
        </w:rPr>
        <w:t xml:space="preserve">LUXOPTIC </w:t>
      </w:r>
      <w:r w:rsidRPr="0007125D">
        <w:rPr>
          <w:rFonts w:ascii="Arial" w:hAnsi="Arial" w:cs="Arial"/>
        </w:rPr>
        <w:t>une entreprise spécialisée dans la fabrication des verres optiques. Les dirigeants ont défini un axe stratégique de croissance interne. Ils envisagent en effet un projet d’investissement qui devrait permettre de renforcer la part de marché de leur entreprise et d’améliorer sa compétitivité face notamment à la concurrence de plus en plus notoire du secteur informel.</w:t>
      </w:r>
    </w:p>
    <w:p w:rsidR="001A7847" w:rsidRPr="0007125D" w:rsidRDefault="001A7847" w:rsidP="001A7847">
      <w:pPr>
        <w:spacing w:line="276" w:lineRule="auto"/>
        <w:jc w:val="both"/>
        <w:rPr>
          <w:rFonts w:ascii="Arial" w:hAnsi="Arial" w:cs="Arial"/>
        </w:rPr>
      </w:pPr>
      <w:r w:rsidRPr="0007125D">
        <w:rPr>
          <w:rFonts w:ascii="Arial" w:hAnsi="Arial" w:cs="Arial"/>
        </w:rPr>
        <w:t xml:space="preserve">Il s’agit en effet de mettre en place une nouvelle unité de production qui sera opérationnelle à partir du début N+1 et qui permettrait  de satisfaire la demande sur deux marchés distincts : </w:t>
      </w:r>
      <w:r w:rsidRPr="0007125D">
        <w:rPr>
          <w:rFonts w:ascii="Arial" w:hAnsi="Arial" w:cs="Arial"/>
          <w:b/>
          <w:bCs/>
        </w:rPr>
        <w:t>les verres optiques et les lentilles de contact</w:t>
      </w:r>
      <w:r w:rsidRPr="0007125D">
        <w:rPr>
          <w:rFonts w:ascii="Arial" w:hAnsi="Arial" w:cs="Arial"/>
        </w:rPr>
        <w:t>.</w:t>
      </w:r>
    </w:p>
    <w:p w:rsidR="001A7847" w:rsidRPr="0007125D" w:rsidRDefault="001A7847" w:rsidP="001A7847">
      <w:pPr>
        <w:spacing w:line="276" w:lineRule="auto"/>
        <w:jc w:val="both"/>
        <w:rPr>
          <w:rFonts w:ascii="Arial" w:hAnsi="Arial" w:cs="Arial"/>
        </w:rPr>
      </w:pPr>
      <w:r w:rsidRPr="0007125D">
        <w:rPr>
          <w:rFonts w:ascii="Arial" w:hAnsi="Arial" w:cs="Arial"/>
        </w:rPr>
        <w:t>Les études faites par la direction technique ont permis de ressortir des éléments d’évaluation de la dépense d’investissement et des flux qui seraient induits par la réalisation du projet.</w:t>
      </w:r>
    </w:p>
    <w:p w:rsidR="001A7847" w:rsidRPr="0007125D" w:rsidRDefault="001A7847" w:rsidP="001A7847">
      <w:pPr>
        <w:spacing w:line="276" w:lineRule="auto"/>
        <w:jc w:val="both"/>
        <w:rPr>
          <w:rFonts w:ascii="Arial" w:hAnsi="Arial" w:cs="Arial"/>
        </w:rPr>
      </w:pPr>
      <w:r w:rsidRPr="0007125D">
        <w:rPr>
          <w:rFonts w:ascii="Arial" w:hAnsi="Arial" w:cs="Arial"/>
        </w:rPr>
        <w:t>Ceux-ci sont fournis en annexes ci-dessous. Cependant, la direction s’interroge sur la faisabilité de cet investissement.</w:t>
      </w:r>
    </w:p>
    <w:p w:rsidR="001A7847" w:rsidRPr="0007125D" w:rsidRDefault="001A7847" w:rsidP="001A7847">
      <w:pPr>
        <w:rPr>
          <w:rFonts w:ascii="Arial" w:hAnsi="Arial" w:cs="Arial"/>
        </w:rPr>
      </w:pPr>
    </w:p>
    <w:p w:rsidR="001A7847" w:rsidRPr="0007125D" w:rsidRDefault="001A7847" w:rsidP="001A7847">
      <w:pPr>
        <w:rPr>
          <w:rFonts w:ascii="Arial" w:hAnsi="Arial" w:cs="Arial"/>
        </w:rPr>
      </w:pPr>
      <w:r w:rsidRPr="0007125D">
        <w:rPr>
          <w:rFonts w:ascii="Arial" w:hAnsi="Arial" w:cs="Arial"/>
          <w:b/>
          <w:bCs/>
          <w:i/>
          <w:iCs/>
          <w:u w:val="single"/>
        </w:rPr>
        <w:t>Annexe 1- détail des investissements en (</w:t>
      </w:r>
      <w:proofErr w:type="spellStart"/>
      <w:r w:rsidRPr="0007125D">
        <w:rPr>
          <w:rFonts w:ascii="Arial" w:hAnsi="Arial" w:cs="Arial"/>
          <w:b/>
          <w:bCs/>
          <w:i/>
          <w:iCs/>
          <w:u w:val="single"/>
        </w:rPr>
        <w:t>Kdh</w:t>
      </w:r>
      <w:proofErr w:type="spellEnd"/>
      <w:r w:rsidRPr="0007125D">
        <w:rPr>
          <w:rFonts w:ascii="Arial" w:hAnsi="Arial" w:cs="Arial"/>
          <w:b/>
          <w:bCs/>
          <w:i/>
          <w:iCs/>
          <w:u w:val="single"/>
        </w:rPr>
        <w:t>)</w:t>
      </w:r>
      <w:r w:rsidRPr="0007125D">
        <w:rPr>
          <w:rFonts w:ascii="Arial" w:hAnsi="Arial" w:cs="Arial"/>
        </w:rPr>
        <w:t> :</w:t>
      </w:r>
    </w:p>
    <w:p w:rsidR="001A7847" w:rsidRPr="0007125D" w:rsidRDefault="001A7847" w:rsidP="001A78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913"/>
        <w:gridCol w:w="1390"/>
        <w:gridCol w:w="1391"/>
        <w:gridCol w:w="1455"/>
        <w:gridCol w:w="1429"/>
      </w:tblGrid>
      <w:tr w:rsidR="001A7847" w:rsidRPr="001A265C" w:rsidTr="00FD0052">
        <w:tc>
          <w:tcPr>
            <w:tcW w:w="1463" w:type="dxa"/>
          </w:tcPr>
          <w:p w:rsidR="001A7847" w:rsidRPr="001A265C" w:rsidRDefault="001A7847" w:rsidP="00FD0052">
            <w:pPr>
              <w:rPr>
                <w:rFonts w:ascii="Arial" w:hAnsi="Arial" w:cs="Arial"/>
                <w:b/>
                <w:bCs/>
              </w:rPr>
            </w:pPr>
            <w:r w:rsidRPr="001A265C">
              <w:rPr>
                <w:rFonts w:ascii="Arial" w:hAnsi="Arial" w:cs="Arial"/>
                <w:b/>
                <w:bCs/>
              </w:rPr>
              <w:t xml:space="preserve">Désignation </w:t>
            </w:r>
          </w:p>
        </w:tc>
        <w:tc>
          <w:tcPr>
            <w:tcW w:w="1463" w:type="dxa"/>
          </w:tcPr>
          <w:p w:rsidR="001A7847" w:rsidRPr="001A265C" w:rsidRDefault="001A7847" w:rsidP="00FD0052">
            <w:pPr>
              <w:jc w:val="center"/>
              <w:rPr>
                <w:rFonts w:ascii="Arial" w:hAnsi="Arial" w:cs="Arial"/>
                <w:b/>
                <w:bCs/>
              </w:rPr>
            </w:pPr>
            <w:r w:rsidRPr="001A265C">
              <w:rPr>
                <w:rFonts w:ascii="Arial" w:hAnsi="Arial" w:cs="Arial"/>
                <w:b/>
                <w:bCs/>
              </w:rPr>
              <w:t>Coût d’</w:t>
            </w:r>
            <w:proofErr w:type="spellStart"/>
            <w:r w:rsidRPr="001A265C">
              <w:rPr>
                <w:rFonts w:ascii="Arial" w:hAnsi="Arial" w:cs="Arial"/>
                <w:b/>
                <w:bCs/>
              </w:rPr>
              <w:t>acquisit</w:t>
            </w:r>
            <w:proofErr w:type="spellEnd"/>
            <w:r w:rsidRPr="001A265C">
              <w:rPr>
                <w:rFonts w:ascii="Arial" w:hAnsi="Arial" w:cs="Arial"/>
                <w:b/>
                <w:bCs/>
              </w:rPr>
              <w:t>°(VE)</w:t>
            </w:r>
          </w:p>
        </w:tc>
        <w:tc>
          <w:tcPr>
            <w:tcW w:w="1463" w:type="dxa"/>
          </w:tcPr>
          <w:p w:rsidR="001A7847" w:rsidRPr="001A265C" w:rsidRDefault="001A7847" w:rsidP="00FD0052">
            <w:pPr>
              <w:jc w:val="center"/>
              <w:rPr>
                <w:rFonts w:ascii="Arial" w:hAnsi="Arial" w:cs="Arial"/>
                <w:b/>
                <w:bCs/>
              </w:rPr>
            </w:pPr>
            <w:r w:rsidRPr="001A265C">
              <w:rPr>
                <w:rFonts w:ascii="Arial" w:hAnsi="Arial" w:cs="Arial"/>
                <w:b/>
                <w:bCs/>
              </w:rPr>
              <w:t>Durée d’</w:t>
            </w:r>
            <w:proofErr w:type="spellStart"/>
            <w:r w:rsidRPr="001A265C">
              <w:rPr>
                <w:rFonts w:ascii="Arial" w:hAnsi="Arial" w:cs="Arial"/>
                <w:b/>
                <w:bCs/>
              </w:rPr>
              <w:t>amort</w:t>
            </w:r>
            <w:proofErr w:type="spellEnd"/>
          </w:p>
        </w:tc>
        <w:tc>
          <w:tcPr>
            <w:tcW w:w="1463" w:type="dxa"/>
          </w:tcPr>
          <w:p w:rsidR="001A7847" w:rsidRPr="001A265C" w:rsidRDefault="001A7847" w:rsidP="00FD0052">
            <w:pPr>
              <w:jc w:val="center"/>
              <w:rPr>
                <w:rFonts w:ascii="Arial" w:hAnsi="Arial" w:cs="Arial"/>
                <w:b/>
                <w:bCs/>
              </w:rPr>
            </w:pPr>
            <w:r w:rsidRPr="001A265C">
              <w:rPr>
                <w:rFonts w:ascii="Arial" w:hAnsi="Arial" w:cs="Arial"/>
                <w:b/>
                <w:bCs/>
              </w:rPr>
              <w:t>Mode d’</w:t>
            </w:r>
            <w:proofErr w:type="spellStart"/>
            <w:r w:rsidRPr="001A265C">
              <w:rPr>
                <w:rFonts w:ascii="Arial" w:hAnsi="Arial" w:cs="Arial"/>
                <w:b/>
                <w:bCs/>
              </w:rPr>
              <w:t>amort</w:t>
            </w:r>
            <w:proofErr w:type="spellEnd"/>
          </w:p>
        </w:tc>
        <w:tc>
          <w:tcPr>
            <w:tcW w:w="1464" w:type="dxa"/>
          </w:tcPr>
          <w:p w:rsidR="001A7847" w:rsidRPr="001A265C" w:rsidRDefault="001A7847" w:rsidP="00FD0052">
            <w:pPr>
              <w:jc w:val="center"/>
              <w:rPr>
                <w:rFonts w:ascii="Arial" w:hAnsi="Arial" w:cs="Arial"/>
                <w:b/>
                <w:bCs/>
              </w:rPr>
            </w:pPr>
            <w:r w:rsidRPr="001A265C">
              <w:rPr>
                <w:rFonts w:ascii="Arial" w:hAnsi="Arial" w:cs="Arial"/>
                <w:b/>
                <w:bCs/>
              </w:rPr>
              <w:t>Date de réalisation</w:t>
            </w:r>
          </w:p>
        </w:tc>
        <w:tc>
          <w:tcPr>
            <w:tcW w:w="1464" w:type="dxa"/>
          </w:tcPr>
          <w:p w:rsidR="001A7847" w:rsidRPr="001A265C" w:rsidRDefault="001A7847" w:rsidP="00FD0052">
            <w:pPr>
              <w:jc w:val="center"/>
              <w:rPr>
                <w:rFonts w:ascii="Arial" w:hAnsi="Arial" w:cs="Arial"/>
                <w:b/>
                <w:bCs/>
              </w:rPr>
            </w:pPr>
            <w:r w:rsidRPr="001A265C">
              <w:rPr>
                <w:rFonts w:ascii="Arial" w:hAnsi="Arial" w:cs="Arial"/>
                <w:b/>
                <w:bCs/>
              </w:rPr>
              <w:t>Valeur terminale</w:t>
            </w:r>
          </w:p>
        </w:tc>
      </w:tr>
      <w:tr w:rsidR="001A7847" w:rsidRPr="001A265C" w:rsidTr="00FD0052">
        <w:tc>
          <w:tcPr>
            <w:tcW w:w="1463" w:type="dxa"/>
          </w:tcPr>
          <w:p w:rsidR="001A7847" w:rsidRPr="001A265C" w:rsidRDefault="001A7847" w:rsidP="00FD0052">
            <w:pPr>
              <w:rPr>
                <w:rFonts w:ascii="Arial" w:hAnsi="Arial" w:cs="Arial"/>
                <w:b/>
                <w:bCs/>
              </w:rPr>
            </w:pPr>
            <w:r w:rsidRPr="001A265C">
              <w:rPr>
                <w:rFonts w:ascii="Arial" w:hAnsi="Arial" w:cs="Arial"/>
                <w:b/>
                <w:bCs/>
              </w:rPr>
              <w:t>Terrain</w:t>
            </w:r>
          </w:p>
          <w:p w:rsidR="001A7847" w:rsidRPr="001A265C" w:rsidRDefault="001A7847" w:rsidP="00FD0052">
            <w:pPr>
              <w:rPr>
                <w:rFonts w:ascii="Arial" w:hAnsi="Arial" w:cs="Arial"/>
                <w:b/>
                <w:bCs/>
              </w:rPr>
            </w:pPr>
            <w:r w:rsidRPr="001A265C">
              <w:rPr>
                <w:rFonts w:ascii="Arial" w:hAnsi="Arial" w:cs="Arial"/>
                <w:b/>
                <w:bCs/>
              </w:rPr>
              <w:t>Construction</w:t>
            </w:r>
          </w:p>
          <w:p w:rsidR="001A7847" w:rsidRPr="001A265C" w:rsidRDefault="001A7847" w:rsidP="00FD0052">
            <w:pPr>
              <w:rPr>
                <w:rFonts w:ascii="Arial" w:hAnsi="Arial" w:cs="Arial"/>
              </w:rPr>
            </w:pPr>
            <w:r w:rsidRPr="001A265C">
              <w:rPr>
                <w:rFonts w:ascii="Arial" w:hAnsi="Arial" w:cs="Arial"/>
                <w:b/>
                <w:bCs/>
              </w:rPr>
              <w:t>I.T.M.O</w:t>
            </w:r>
          </w:p>
        </w:tc>
        <w:tc>
          <w:tcPr>
            <w:tcW w:w="1463" w:type="dxa"/>
          </w:tcPr>
          <w:p w:rsidR="001A7847" w:rsidRPr="001A265C" w:rsidRDefault="001A7847" w:rsidP="00FD0052">
            <w:pPr>
              <w:jc w:val="center"/>
              <w:rPr>
                <w:rFonts w:ascii="Arial" w:hAnsi="Arial" w:cs="Arial"/>
              </w:rPr>
            </w:pPr>
            <w:r w:rsidRPr="001A265C">
              <w:rPr>
                <w:rFonts w:ascii="Arial" w:hAnsi="Arial" w:cs="Arial"/>
              </w:rPr>
              <w:t>10000</w:t>
            </w:r>
          </w:p>
          <w:p w:rsidR="001A7847" w:rsidRPr="001A265C" w:rsidRDefault="001A7847" w:rsidP="00FD0052">
            <w:pPr>
              <w:jc w:val="center"/>
              <w:rPr>
                <w:rFonts w:ascii="Arial" w:hAnsi="Arial" w:cs="Arial"/>
              </w:rPr>
            </w:pPr>
            <w:r w:rsidRPr="001A265C">
              <w:rPr>
                <w:rFonts w:ascii="Arial" w:hAnsi="Arial" w:cs="Arial"/>
              </w:rPr>
              <w:t>60000</w:t>
            </w:r>
          </w:p>
          <w:p w:rsidR="001A7847" w:rsidRPr="001A265C" w:rsidRDefault="001A7847" w:rsidP="00FD0052">
            <w:pPr>
              <w:jc w:val="center"/>
              <w:rPr>
                <w:rFonts w:ascii="Arial" w:hAnsi="Arial" w:cs="Arial"/>
              </w:rPr>
            </w:pPr>
            <w:r w:rsidRPr="001A265C">
              <w:rPr>
                <w:rFonts w:ascii="Arial" w:hAnsi="Arial" w:cs="Arial"/>
              </w:rPr>
              <w:t>120000</w:t>
            </w:r>
          </w:p>
        </w:tc>
        <w:tc>
          <w:tcPr>
            <w:tcW w:w="1463" w:type="dxa"/>
          </w:tcPr>
          <w:p w:rsidR="001A7847" w:rsidRPr="001A265C" w:rsidRDefault="001A7847" w:rsidP="00FD0052">
            <w:pPr>
              <w:jc w:val="center"/>
              <w:rPr>
                <w:rFonts w:ascii="Arial" w:hAnsi="Arial" w:cs="Arial"/>
              </w:rPr>
            </w:pPr>
            <w:r w:rsidRPr="001A265C">
              <w:rPr>
                <w:rFonts w:ascii="Arial" w:hAnsi="Arial" w:cs="Arial"/>
              </w:rPr>
              <w:t>-</w:t>
            </w:r>
          </w:p>
          <w:p w:rsidR="001A7847" w:rsidRPr="001A265C" w:rsidRDefault="001A7847" w:rsidP="00FD0052">
            <w:pPr>
              <w:jc w:val="center"/>
              <w:rPr>
                <w:rFonts w:ascii="Arial" w:hAnsi="Arial" w:cs="Arial"/>
              </w:rPr>
            </w:pPr>
            <w:r w:rsidRPr="001A265C">
              <w:rPr>
                <w:rFonts w:ascii="Arial" w:hAnsi="Arial" w:cs="Arial"/>
              </w:rPr>
              <w:t>25 ans</w:t>
            </w:r>
          </w:p>
          <w:p w:rsidR="001A7847" w:rsidRPr="001A265C" w:rsidRDefault="001A7847" w:rsidP="00FD0052">
            <w:pPr>
              <w:jc w:val="center"/>
              <w:rPr>
                <w:rFonts w:ascii="Arial" w:hAnsi="Arial" w:cs="Arial"/>
              </w:rPr>
            </w:pPr>
            <w:r w:rsidRPr="001A265C">
              <w:rPr>
                <w:rFonts w:ascii="Arial" w:hAnsi="Arial" w:cs="Arial"/>
              </w:rPr>
              <w:t>10 ans</w:t>
            </w:r>
          </w:p>
        </w:tc>
        <w:tc>
          <w:tcPr>
            <w:tcW w:w="1463" w:type="dxa"/>
          </w:tcPr>
          <w:p w:rsidR="001A7847" w:rsidRPr="001A265C" w:rsidRDefault="001A7847" w:rsidP="00FD0052">
            <w:pPr>
              <w:jc w:val="center"/>
              <w:rPr>
                <w:rFonts w:ascii="Arial" w:hAnsi="Arial" w:cs="Arial"/>
              </w:rPr>
            </w:pPr>
            <w:r w:rsidRPr="001A265C">
              <w:rPr>
                <w:rFonts w:ascii="Arial" w:hAnsi="Arial" w:cs="Arial"/>
              </w:rPr>
              <w:t>-</w:t>
            </w:r>
          </w:p>
          <w:p w:rsidR="001A7847" w:rsidRPr="001A265C" w:rsidRDefault="001A7847" w:rsidP="00FD0052">
            <w:pPr>
              <w:jc w:val="center"/>
              <w:rPr>
                <w:rFonts w:ascii="Arial" w:hAnsi="Arial" w:cs="Arial"/>
              </w:rPr>
            </w:pPr>
            <w:r w:rsidRPr="001A265C">
              <w:rPr>
                <w:rFonts w:ascii="Arial" w:hAnsi="Arial" w:cs="Arial"/>
              </w:rPr>
              <w:t>linéaire</w:t>
            </w:r>
          </w:p>
          <w:p w:rsidR="001A7847" w:rsidRPr="001A265C" w:rsidRDefault="001A7847" w:rsidP="00FD0052">
            <w:pPr>
              <w:jc w:val="center"/>
              <w:rPr>
                <w:rFonts w:ascii="Arial" w:hAnsi="Arial" w:cs="Arial"/>
              </w:rPr>
            </w:pPr>
            <w:r w:rsidRPr="001A265C">
              <w:rPr>
                <w:rFonts w:ascii="Arial" w:hAnsi="Arial" w:cs="Arial"/>
              </w:rPr>
              <w:t>linéaire</w:t>
            </w:r>
          </w:p>
        </w:tc>
        <w:tc>
          <w:tcPr>
            <w:tcW w:w="1464" w:type="dxa"/>
          </w:tcPr>
          <w:p w:rsidR="001A7847" w:rsidRPr="001A265C" w:rsidRDefault="001A7847" w:rsidP="00FD0052">
            <w:pPr>
              <w:jc w:val="center"/>
              <w:rPr>
                <w:rFonts w:ascii="Arial" w:hAnsi="Arial" w:cs="Arial"/>
              </w:rPr>
            </w:pPr>
            <w:r w:rsidRPr="001A265C">
              <w:rPr>
                <w:rFonts w:ascii="Arial" w:hAnsi="Arial" w:cs="Arial"/>
              </w:rPr>
              <w:t>1-1- N</w:t>
            </w:r>
          </w:p>
          <w:p w:rsidR="001A7847" w:rsidRPr="001A265C" w:rsidRDefault="001A7847" w:rsidP="00FD0052">
            <w:pPr>
              <w:jc w:val="center"/>
              <w:rPr>
                <w:rFonts w:ascii="Arial" w:hAnsi="Arial" w:cs="Arial"/>
              </w:rPr>
            </w:pPr>
            <w:r w:rsidRPr="001A265C">
              <w:rPr>
                <w:rFonts w:ascii="Arial" w:hAnsi="Arial" w:cs="Arial"/>
              </w:rPr>
              <w:t>1-1- N</w:t>
            </w:r>
          </w:p>
          <w:p w:rsidR="001A7847" w:rsidRPr="001A265C" w:rsidRDefault="001A7847" w:rsidP="00FD0052">
            <w:pPr>
              <w:jc w:val="center"/>
              <w:rPr>
                <w:rFonts w:ascii="Arial" w:hAnsi="Arial" w:cs="Arial"/>
              </w:rPr>
            </w:pPr>
            <w:r w:rsidRPr="001A265C">
              <w:rPr>
                <w:rFonts w:ascii="Arial" w:hAnsi="Arial" w:cs="Arial"/>
              </w:rPr>
              <w:t>1-1- N+1</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p>
        </w:tc>
        <w:tc>
          <w:tcPr>
            <w:tcW w:w="1464" w:type="dxa"/>
          </w:tcPr>
          <w:p w:rsidR="001A7847" w:rsidRPr="001A265C" w:rsidRDefault="001A7847" w:rsidP="00FD0052">
            <w:pPr>
              <w:jc w:val="center"/>
              <w:rPr>
                <w:rFonts w:ascii="Arial" w:hAnsi="Arial" w:cs="Arial"/>
              </w:rPr>
            </w:pPr>
            <w:r w:rsidRPr="001A265C">
              <w:rPr>
                <w:rFonts w:ascii="Arial" w:hAnsi="Arial" w:cs="Arial"/>
              </w:rPr>
              <w:t>VE</w:t>
            </w:r>
            <w:r w:rsidRPr="001A265C">
              <w:rPr>
                <w:rFonts w:ascii="Arial" w:hAnsi="Arial" w:cs="Arial"/>
              </w:rPr>
              <w:sym w:font="Symbol" w:char="F02A"/>
            </w:r>
            <w:r w:rsidRPr="001A265C">
              <w:rPr>
                <w:rFonts w:ascii="Arial" w:hAnsi="Arial" w:cs="Arial"/>
              </w:rPr>
              <w:t>1.5</w:t>
            </w:r>
          </w:p>
          <w:p w:rsidR="001A7847" w:rsidRPr="001A265C" w:rsidRDefault="001A7847" w:rsidP="00FD0052">
            <w:pPr>
              <w:jc w:val="center"/>
              <w:rPr>
                <w:rFonts w:ascii="Arial" w:hAnsi="Arial" w:cs="Arial"/>
              </w:rPr>
            </w:pPr>
            <w:r w:rsidRPr="001A265C">
              <w:rPr>
                <w:rFonts w:ascii="Arial" w:hAnsi="Arial" w:cs="Arial"/>
              </w:rPr>
              <w:t>VNA</w:t>
            </w:r>
            <w:r w:rsidRPr="001A265C">
              <w:rPr>
                <w:rFonts w:ascii="Arial" w:hAnsi="Arial" w:cs="Arial"/>
              </w:rPr>
              <w:sym w:font="Symbol" w:char="F02A"/>
            </w:r>
            <w:r w:rsidRPr="001A265C">
              <w:rPr>
                <w:rFonts w:ascii="Arial" w:hAnsi="Arial" w:cs="Arial"/>
              </w:rPr>
              <w:t>1.2</w:t>
            </w:r>
          </w:p>
          <w:p w:rsidR="001A7847" w:rsidRPr="001A265C" w:rsidRDefault="001A7847" w:rsidP="00FD0052">
            <w:pPr>
              <w:jc w:val="center"/>
              <w:rPr>
                <w:rFonts w:ascii="Arial" w:hAnsi="Arial" w:cs="Arial"/>
              </w:rPr>
            </w:pPr>
            <w:r w:rsidRPr="001A265C">
              <w:rPr>
                <w:rFonts w:ascii="Arial" w:hAnsi="Arial" w:cs="Arial"/>
              </w:rPr>
              <w:t>VNA</w:t>
            </w:r>
          </w:p>
        </w:tc>
      </w:tr>
      <w:tr w:rsidR="001A7847" w:rsidRPr="001A265C" w:rsidTr="00FD0052">
        <w:tc>
          <w:tcPr>
            <w:tcW w:w="1463" w:type="dxa"/>
          </w:tcPr>
          <w:p w:rsidR="001A7847" w:rsidRPr="001A265C" w:rsidRDefault="001A7847" w:rsidP="00FD0052">
            <w:pPr>
              <w:rPr>
                <w:rFonts w:ascii="Arial" w:hAnsi="Arial" w:cs="Arial"/>
                <w:b/>
                <w:bCs/>
              </w:rPr>
            </w:pPr>
            <w:r w:rsidRPr="001A265C">
              <w:rPr>
                <w:rFonts w:ascii="Arial" w:hAnsi="Arial" w:cs="Arial"/>
                <w:b/>
                <w:bCs/>
              </w:rPr>
              <w:t>Total</w:t>
            </w:r>
          </w:p>
        </w:tc>
        <w:tc>
          <w:tcPr>
            <w:tcW w:w="1463" w:type="dxa"/>
          </w:tcPr>
          <w:p w:rsidR="001A7847" w:rsidRPr="001A265C" w:rsidRDefault="001A7847" w:rsidP="00FD0052">
            <w:pPr>
              <w:jc w:val="center"/>
              <w:rPr>
                <w:rFonts w:ascii="Arial" w:hAnsi="Arial" w:cs="Arial"/>
              </w:rPr>
            </w:pPr>
            <w:r w:rsidRPr="001A265C">
              <w:rPr>
                <w:rFonts w:ascii="Arial" w:hAnsi="Arial" w:cs="Arial"/>
              </w:rPr>
              <w:t>190 000</w:t>
            </w:r>
          </w:p>
        </w:tc>
        <w:tc>
          <w:tcPr>
            <w:tcW w:w="1463" w:type="dxa"/>
          </w:tcPr>
          <w:p w:rsidR="001A7847" w:rsidRPr="001A265C" w:rsidRDefault="001A7847" w:rsidP="00FD0052">
            <w:pPr>
              <w:rPr>
                <w:rFonts w:ascii="Arial" w:hAnsi="Arial" w:cs="Arial"/>
              </w:rPr>
            </w:pPr>
          </w:p>
        </w:tc>
        <w:tc>
          <w:tcPr>
            <w:tcW w:w="1463" w:type="dxa"/>
          </w:tcPr>
          <w:p w:rsidR="001A7847" w:rsidRPr="001A265C" w:rsidRDefault="001A7847" w:rsidP="00FD0052">
            <w:pPr>
              <w:rPr>
                <w:rFonts w:ascii="Arial" w:hAnsi="Arial" w:cs="Arial"/>
              </w:rPr>
            </w:pPr>
          </w:p>
        </w:tc>
        <w:tc>
          <w:tcPr>
            <w:tcW w:w="1464" w:type="dxa"/>
          </w:tcPr>
          <w:p w:rsidR="001A7847" w:rsidRPr="001A265C" w:rsidRDefault="001A7847" w:rsidP="00FD0052">
            <w:pPr>
              <w:rPr>
                <w:rFonts w:ascii="Arial" w:hAnsi="Arial" w:cs="Arial"/>
              </w:rPr>
            </w:pPr>
          </w:p>
        </w:tc>
        <w:tc>
          <w:tcPr>
            <w:tcW w:w="1464" w:type="dxa"/>
          </w:tcPr>
          <w:p w:rsidR="001A7847" w:rsidRPr="001A265C" w:rsidRDefault="001A7847" w:rsidP="00FD0052">
            <w:pPr>
              <w:rPr>
                <w:rFonts w:ascii="Arial" w:hAnsi="Arial" w:cs="Arial"/>
              </w:rPr>
            </w:pPr>
          </w:p>
        </w:tc>
      </w:tr>
    </w:tbl>
    <w:p w:rsidR="001A7847" w:rsidRPr="0007125D" w:rsidRDefault="001A7847" w:rsidP="001A7847">
      <w:pPr>
        <w:rPr>
          <w:rFonts w:ascii="Arial" w:hAnsi="Arial" w:cs="Arial"/>
        </w:rPr>
      </w:pPr>
    </w:p>
    <w:p w:rsidR="001A7847" w:rsidRPr="0007125D" w:rsidRDefault="001A7847" w:rsidP="001A7847">
      <w:pPr>
        <w:numPr>
          <w:ilvl w:val="0"/>
          <w:numId w:val="1"/>
        </w:numPr>
        <w:jc w:val="both"/>
        <w:rPr>
          <w:rFonts w:ascii="Arial" w:hAnsi="Arial" w:cs="Arial"/>
          <w:i/>
          <w:iCs/>
        </w:rPr>
      </w:pPr>
      <w:r w:rsidRPr="0007125D">
        <w:rPr>
          <w:rFonts w:ascii="Arial" w:hAnsi="Arial" w:cs="Arial"/>
          <w:i/>
          <w:iCs/>
        </w:rPr>
        <w:t>L’estimation de la valeur terminale ci-dessus est faite avant prise en compte de l’incidence fiscale des éventuelles plus ou moins values de cession</w:t>
      </w:r>
    </w:p>
    <w:p w:rsidR="001A7847" w:rsidRPr="0007125D" w:rsidRDefault="001A7847" w:rsidP="001A7847">
      <w:pPr>
        <w:numPr>
          <w:ilvl w:val="0"/>
          <w:numId w:val="1"/>
        </w:numPr>
        <w:jc w:val="both"/>
        <w:rPr>
          <w:rFonts w:ascii="Arial" w:hAnsi="Arial" w:cs="Arial"/>
          <w:i/>
          <w:iCs/>
        </w:rPr>
      </w:pPr>
      <w:r w:rsidRPr="0007125D">
        <w:rPr>
          <w:rFonts w:ascii="Arial" w:hAnsi="Arial" w:cs="Arial"/>
          <w:i/>
          <w:iCs/>
        </w:rPr>
        <w:t>La VNA retenue pour les constructions et les ITMO correspond à leurs VNC à la fin de la 5</w:t>
      </w:r>
      <w:r w:rsidRPr="0007125D">
        <w:rPr>
          <w:rFonts w:ascii="Arial" w:hAnsi="Arial" w:cs="Arial"/>
          <w:i/>
          <w:iCs/>
          <w:vertAlign w:val="superscript"/>
        </w:rPr>
        <w:t>éme</w:t>
      </w:r>
      <w:r w:rsidRPr="0007125D">
        <w:rPr>
          <w:rFonts w:ascii="Arial" w:hAnsi="Arial" w:cs="Arial"/>
          <w:i/>
          <w:iCs/>
        </w:rPr>
        <w:t xml:space="preserve">année (N+5). Cette date étant considérée comme celle de la sortie de cet investissement.  </w:t>
      </w:r>
    </w:p>
    <w:p w:rsidR="001A7847" w:rsidRPr="0007125D" w:rsidRDefault="001A7847" w:rsidP="001A7847">
      <w:pPr>
        <w:rPr>
          <w:rFonts w:ascii="Arial" w:hAnsi="Arial" w:cs="Arial"/>
          <w:b/>
          <w:bCs/>
          <w:i/>
          <w:iCs/>
          <w:u w:val="single"/>
        </w:rPr>
      </w:pPr>
      <w:r w:rsidRPr="0007125D">
        <w:rPr>
          <w:rFonts w:ascii="Arial" w:hAnsi="Arial" w:cs="Arial"/>
          <w:b/>
          <w:bCs/>
          <w:i/>
          <w:iCs/>
          <w:u w:val="single"/>
        </w:rPr>
        <w:t>Annexe 2- Prévision des produits et des charges imputables à l’investissement :</w:t>
      </w:r>
    </w:p>
    <w:p w:rsidR="001A7847" w:rsidRPr="0007125D" w:rsidRDefault="001A7847" w:rsidP="001A7847">
      <w:pPr>
        <w:rPr>
          <w:rFonts w:ascii="Arial" w:hAnsi="Arial" w:cs="Arial"/>
          <w:b/>
          <w:bCs/>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84"/>
        <w:gridCol w:w="900"/>
        <w:gridCol w:w="1080"/>
        <w:gridCol w:w="1080"/>
        <w:gridCol w:w="1017"/>
      </w:tblGrid>
      <w:tr w:rsidR="001A7847" w:rsidRPr="001A265C" w:rsidTr="00FD0052">
        <w:tc>
          <w:tcPr>
            <w:tcW w:w="4068" w:type="dxa"/>
          </w:tcPr>
          <w:p w:rsidR="001A7847" w:rsidRPr="001A265C" w:rsidRDefault="001A7847" w:rsidP="00FD0052">
            <w:pPr>
              <w:rPr>
                <w:rFonts w:ascii="Arial" w:hAnsi="Arial" w:cs="Arial"/>
              </w:rPr>
            </w:pPr>
            <w:r w:rsidRPr="001A265C">
              <w:rPr>
                <w:rFonts w:ascii="Arial" w:hAnsi="Arial" w:cs="Arial"/>
              </w:rPr>
              <w:t>Eléments</w:t>
            </w:r>
          </w:p>
        </w:tc>
        <w:tc>
          <w:tcPr>
            <w:tcW w:w="720" w:type="dxa"/>
          </w:tcPr>
          <w:p w:rsidR="001A7847" w:rsidRPr="001A265C" w:rsidRDefault="001A7847" w:rsidP="00FD0052">
            <w:pPr>
              <w:jc w:val="center"/>
              <w:rPr>
                <w:rFonts w:ascii="Arial" w:hAnsi="Arial" w:cs="Arial"/>
              </w:rPr>
            </w:pPr>
            <w:r w:rsidRPr="001A265C">
              <w:rPr>
                <w:rFonts w:ascii="Arial" w:hAnsi="Arial" w:cs="Arial"/>
              </w:rPr>
              <w:t>N+1</w:t>
            </w:r>
          </w:p>
        </w:tc>
        <w:tc>
          <w:tcPr>
            <w:tcW w:w="900" w:type="dxa"/>
          </w:tcPr>
          <w:p w:rsidR="001A7847" w:rsidRPr="001A265C" w:rsidRDefault="001A7847" w:rsidP="00FD0052">
            <w:pPr>
              <w:jc w:val="center"/>
              <w:rPr>
                <w:rFonts w:ascii="Arial" w:hAnsi="Arial" w:cs="Arial"/>
              </w:rPr>
            </w:pPr>
            <w:r w:rsidRPr="001A265C">
              <w:rPr>
                <w:rFonts w:ascii="Arial" w:hAnsi="Arial" w:cs="Arial"/>
              </w:rPr>
              <w:t>N+2</w:t>
            </w:r>
          </w:p>
        </w:tc>
        <w:tc>
          <w:tcPr>
            <w:tcW w:w="1080" w:type="dxa"/>
          </w:tcPr>
          <w:p w:rsidR="001A7847" w:rsidRPr="001A265C" w:rsidRDefault="001A7847" w:rsidP="00FD0052">
            <w:pPr>
              <w:jc w:val="center"/>
              <w:rPr>
                <w:rFonts w:ascii="Arial" w:hAnsi="Arial" w:cs="Arial"/>
              </w:rPr>
            </w:pPr>
            <w:r w:rsidRPr="001A265C">
              <w:rPr>
                <w:rFonts w:ascii="Arial" w:hAnsi="Arial" w:cs="Arial"/>
              </w:rPr>
              <w:t>N+3</w:t>
            </w:r>
          </w:p>
        </w:tc>
        <w:tc>
          <w:tcPr>
            <w:tcW w:w="1080" w:type="dxa"/>
          </w:tcPr>
          <w:p w:rsidR="001A7847" w:rsidRPr="001A265C" w:rsidRDefault="001A7847" w:rsidP="00FD0052">
            <w:pPr>
              <w:jc w:val="center"/>
              <w:rPr>
                <w:rFonts w:ascii="Arial" w:hAnsi="Arial" w:cs="Arial"/>
              </w:rPr>
            </w:pPr>
            <w:r w:rsidRPr="001A265C">
              <w:rPr>
                <w:rFonts w:ascii="Arial" w:hAnsi="Arial" w:cs="Arial"/>
              </w:rPr>
              <w:t>N+4</w:t>
            </w:r>
          </w:p>
        </w:tc>
        <w:tc>
          <w:tcPr>
            <w:tcW w:w="932" w:type="dxa"/>
          </w:tcPr>
          <w:p w:rsidR="001A7847" w:rsidRPr="001A265C" w:rsidRDefault="001A7847" w:rsidP="00FD0052">
            <w:pPr>
              <w:jc w:val="center"/>
              <w:rPr>
                <w:rFonts w:ascii="Arial" w:hAnsi="Arial" w:cs="Arial"/>
              </w:rPr>
            </w:pPr>
            <w:r w:rsidRPr="001A265C">
              <w:rPr>
                <w:rFonts w:ascii="Arial" w:hAnsi="Arial" w:cs="Arial"/>
              </w:rPr>
              <w:t>N+5</w:t>
            </w:r>
          </w:p>
        </w:tc>
      </w:tr>
      <w:tr w:rsidR="001A7847" w:rsidRPr="001A265C" w:rsidTr="00FD0052">
        <w:tc>
          <w:tcPr>
            <w:tcW w:w="4068" w:type="dxa"/>
          </w:tcPr>
          <w:p w:rsidR="001A7847" w:rsidRPr="001A265C" w:rsidRDefault="001A7847" w:rsidP="00FD0052">
            <w:pPr>
              <w:rPr>
                <w:rFonts w:ascii="Arial" w:hAnsi="Arial" w:cs="Arial"/>
              </w:rPr>
            </w:pPr>
            <w:r w:rsidRPr="001A265C">
              <w:rPr>
                <w:rFonts w:ascii="Arial" w:hAnsi="Arial" w:cs="Arial"/>
              </w:rPr>
              <w:t xml:space="preserve">Ventes HT Verres (EN </w:t>
            </w:r>
            <w:proofErr w:type="spellStart"/>
            <w:r w:rsidRPr="001A265C">
              <w:rPr>
                <w:rFonts w:ascii="Arial" w:hAnsi="Arial" w:cs="Arial"/>
              </w:rPr>
              <w:t>kdh</w:t>
            </w:r>
            <w:proofErr w:type="spellEnd"/>
            <w:r w:rsidRPr="001A265C">
              <w:rPr>
                <w:rFonts w:ascii="Arial" w:hAnsi="Arial" w:cs="Arial"/>
              </w:rPr>
              <w:t>)</w:t>
            </w:r>
          </w:p>
          <w:p w:rsidR="001A7847" w:rsidRPr="001A265C" w:rsidRDefault="001A7847" w:rsidP="00FD0052">
            <w:pPr>
              <w:rPr>
                <w:rFonts w:ascii="Arial" w:hAnsi="Arial" w:cs="Arial"/>
              </w:rPr>
            </w:pPr>
            <w:r w:rsidRPr="001A265C">
              <w:rPr>
                <w:rFonts w:ascii="Arial" w:hAnsi="Arial" w:cs="Arial"/>
              </w:rPr>
              <w:t>Ventes de paires de lunettes(en quantité)</w:t>
            </w:r>
          </w:p>
        </w:tc>
        <w:tc>
          <w:tcPr>
            <w:tcW w:w="720" w:type="dxa"/>
          </w:tcPr>
          <w:p w:rsidR="001A7847" w:rsidRPr="001A265C" w:rsidRDefault="001A7847" w:rsidP="00FD0052">
            <w:pPr>
              <w:jc w:val="center"/>
              <w:rPr>
                <w:rFonts w:ascii="Arial" w:hAnsi="Arial" w:cs="Arial"/>
              </w:rPr>
            </w:pPr>
            <w:r w:rsidRPr="001A265C">
              <w:rPr>
                <w:rFonts w:ascii="Arial" w:hAnsi="Arial" w:cs="Arial"/>
              </w:rPr>
              <w:t>35000</w:t>
            </w:r>
          </w:p>
          <w:p w:rsidR="001A7847" w:rsidRPr="001A265C" w:rsidRDefault="001A7847" w:rsidP="00FD0052">
            <w:pPr>
              <w:jc w:val="center"/>
              <w:rPr>
                <w:rFonts w:ascii="Arial" w:hAnsi="Arial" w:cs="Arial"/>
              </w:rPr>
            </w:pPr>
            <w:r w:rsidRPr="001A265C">
              <w:rPr>
                <w:rFonts w:ascii="Arial" w:hAnsi="Arial" w:cs="Arial"/>
              </w:rPr>
              <w:t>46000</w:t>
            </w:r>
          </w:p>
        </w:tc>
        <w:tc>
          <w:tcPr>
            <w:tcW w:w="900" w:type="dxa"/>
          </w:tcPr>
          <w:p w:rsidR="001A7847" w:rsidRPr="001A265C" w:rsidRDefault="001A7847" w:rsidP="00FD0052">
            <w:pPr>
              <w:jc w:val="center"/>
              <w:rPr>
                <w:rFonts w:ascii="Arial" w:hAnsi="Arial" w:cs="Arial"/>
              </w:rPr>
            </w:pPr>
            <w:r w:rsidRPr="001A265C">
              <w:rPr>
                <w:rFonts w:ascii="Arial" w:hAnsi="Arial" w:cs="Arial"/>
              </w:rPr>
              <w:t>38000</w:t>
            </w:r>
          </w:p>
          <w:p w:rsidR="001A7847" w:rsidRPr="001A265C" w:rsidRDefault="001A7847" w:rsidP="00FD0052">
            <w:pPr>
              <w:jc w:val="center"/>
              <w:rPr>
                <w:rFonts w:ascii="Arial" w:hAnsi="Arial" w:cs="Arial"/>
              </w:rPr>
            </w:pPr>
            <w:r w:rsidRPr="001A265C">
              <w:rPr>
                <w:rFonts w:ascii="Arial" w:hAnsi="Arial" w:cs="Arial"/>
              </w:rPr>
              <w:t>90000</w:t>
            </w:r>
          </w:p>
        </w:tc>
        <w:tc>
          <w:tcPr>
            <w:tcW w:w="1080" w:type="dxa"/>
          </w:tcPr>
          <w:p w:rsidR="001A7847" w:rsidRPr="001A265C" w:rsidRDefault="001A7847" w:rsidP="00FD0052">
            <w:pPr>
              <w:jc w:val="center"/>
              <w:rPr>
                <w:rFonts w:ascii="Arial" w:hAnsi="Arial" w:cs="Arial"/>
              </w:rPr>
            </w:pPr>
            <w:r w:rsidRPr="001A265C">
              <w:rPr>
                <w:rFonts w:ascii="Arial" w:hAnsi="Arial" w:cs="Arial"/>
              </w:rPr>
              <w:t>41000</w:t>
            </w:r>
          </w:p>
          <w:p w:rsidR="001A7847" w:rsidRPr="001A265C" w:rsidRDefault="001A7847" w:rsidP="00FD0052">
            <w:pPr>
              <w:jc w:val="center"/>
              <w:rPr>
                <w:rFonts w:ascii="Arial" w:hAnsi="Arial" w:cs="Arial"/>
              </w:rPr>
            </w:pPr>
            <w:r w:rsidRPr="001A265C">
              <w:rPr>
                <w:rFonts w:ascii="Arial" w:hAnsi="Arial" w:cs="Arial"/>
              </w:rPr>
              <w:t>128000</w:t>
            </w:r>
          </w:p>
        </w:tc>
        <w:tc>
          <w:tcPr>
            <w:tcW w:w="1080" w:type="dxa"/>
          </w:tcPr>
          <w:p w:rsidR="001A7847" w:rsidRPr="001A265C" w:rsidRDefault="001A7847" w:rsidP="00FD0052">
            <w:pPr>
              <w:jc w:val="center"/>
              <w:rPr>
                <w:rFonts w:ascii="Arial" w:hAnsi="Arial" w:cs="Arial"/>
              </w:rPr>
            </w:pPr>
            <w:r w:rsidRPr="001A265C">
              <w:rPr>
                <w:rFonts w:ascii="Arial" w:hAnsi="Arial" w:cs="Arial"/>
              </w:rPr>
              <w:t>45000</w:t>
            </w:r>
          </w:p>
          <w:p w:rsidR="001A7847" w:rsidRPr="001A265C" w:rsidRDefault="001A7847" w:rsidP="00FD0052">
            <w:pPr>
              <w:jc w:val="center"/>
              <w:rPr>
                <w:rFonts w:ascii="Arial" w:hAnsi="Arial" w:cs="Arial"/>
              </w:rPr>
            </w:pPr>
            <w:r w:rsidRPr="001A265C">
              <w:rPr>
                <w:rFonts w:ascii="Arial" w:hAnsi="Arial" w:cs="Arial"/>
              </w:rPr>
              <w:t>166000</w:t>
            </w:r>
          </w:p>
        </w:tc>
        <w:tc>
          <w:tcPr>
            <w:tcW w:w="932" w:type="dxa"/>
          </w:tcPr>
          <w:p w:rsidR="001A7847" w:rsidRPr="001A265C" w:rsidRDefault="001A7847" w:rsidP="00FD0052">
            <w:pPr>
              <w:jc w:val="center"/>
              <w:rPr>
                <w:rFonts w:ascii="Arial" w:hAnsi="Arial" w:cs="Arial"/>
              </w:rPr>
            </w:pPr>
            <w:r w:rsidRPr="001A265C">
              <w:rPr>
                <w:rFonts w:ascii="Arial" w:hAnsi="Arial" w:cs="Arial"/>
              </w:rPr>
              <w:t>45000</w:t>
            </w:r>
          </w:p>
          <w:p w:rsidR="001A7847" w:rsidRPr="001A265C" w:rsidRDefault="001A7847" w:rsidP="00FD0052">
            <w:pPr>
              <w:jc w:val="center"/>
              <w:rPr>
                <w:rFonts w:ascii="Arial" w:hAnsi="Arial" w:cs="Arial"/>
              </w:rPr>
            </w:pPr>
            <w:r w:rsidRPr="001A265C">
              <w:rPr>
                <w:rFonts w:ascii="Arial" w:hAnsi="Arial" w:cs="Arial"/>
              </w:rPr>
              <w:t>182000</w:t>
            </w:r>
          </w:p>
        </w:tc>
      </w:tr>
      <w:tr w:rsidR="001A7847" w:rsidRPr="001A265C" w:rsidTr="00FD0052">
        <w:trPr>
          <w:trHeight w:val="1906"/>
        </w:trPr>
        <w:tc>
          <w:tcPr>
            <w:tcW w:w="4068" w:type="dxa"/>
          </w:tcPr>
          <w:p w:rsidR="001A7847" w:rsidRPr="001A265C" w:rsidRDefault="001A7847" w:rsidP="00FD0052">
            <w:pPr>
              <w:rPr>
                <w:rFonts w:ascii="Arial" w:hAnsi="Arial" w:cs="Arial"/>
              </w:rPr>
            </w:pPr>
            <w:r w:rsidRPr="001A265C">
              <w:rPr>
                <w:rFonts w:ascii="Arial" w:hAnsi="Arial" w:cs="Arial"/>
              </w:rPr>
              <w:t>Consommation mat et fournitures (en %CAHT)</w:t>
            </w:r>
          </w:p>
          <w:p w:rsidR="001A7847" w:rsidRPr="001A265C" w:rsidRDefault="001A7847" w:rsidP="00FD0052">
            <w:pPr>
              <w:rPr>
                <w:rFonts w:ascii="Arial" w:hAnsi="Arial" w:cs="Arial"/>
              </w:rPr>
            </w:pPr>
            <w:r w:rsidRPr="001A265C">
              <w:rPr>
                <w:rFonts w:ascii="Arial" w:hAnsi="Arial" w:cs="Arial"/>
              </w:rPr>
              <w:t>Charges de personnel (en %CAHT)</w:t>
            </w:r>
          </w:p>
          <w:p w:rsidR="001A7847" w:rsidRPr="001A265C" w:rsidRDefault="001A7847" w:rsidP="00FD0052">
            <w:pPr>
              <w:rPr>
                <w:rFonts w:ascii="Arial" w:hAnsi="Arial" w:cs="Arial"/>
              </w:rPr>
            </w:pPr>
            <w:r w:rsidRPr="001A265C">
              <w:rPr>
                <w:rFonts w:ascii="Arial" w:hAnsi="Arial" w:cs="Arial"/>
              </w:rPr>
              <w:t xml:space="preserve">Charges fixes hors amortissements (en </w:t>
            </w:r>
            <w:proofErr w:type="spellStart"/>
            <w:r w:rsidRPr="001A265C">
              <w:rPr>
                <w:rFonts w:ascii="Arial" w:hAnsi="Arial" w:cs="Arial"/>
              </w:rPr>
              <w:t>kdh</w:t>
            </w:r>
            <w:proofErr w:type="spellEnd"/>
            <w:r w:rsidRPr="001A265C">
              <w:rPr>
                <w:rFonts w:ascii="Arial" w:hAnsi="Arial" w:cs="Arial"/>
              </w:rPr>
              <w:t>)</w:t>
            </w:r>
          </w:p>
          <w:p w:rsidR="001A7847" w:rsidRPr="001A265C" w:rsidRDefault="001A7847" w:rsidP="00FD0052">
            <w:pPr>
              <w:rPr>
                <w:rFonts w:ascii="Arial" w:hAnsi="Arial" w:cs="Arial"/>
              </w:rPr>
            </w:pPr>
          </w:p>
        </w:tc>
        <w:tc>
          <w:tcPr>
            <w:tcW w:w="720" w:type="dxa"/>
          </w:tcPr>
          <w:p w:rsidR="001A7847" w:rsidRPr="001A265C" w:rsidRDefault="001A7847" w:rsidP="00FD0052">
            <w:pPr>
              <w:jc w:val="center"/>
              <w:rPr>
                <w:rFonts w:ascii="Arial" w:hAnsi="Arial" w:cs="Arial"/>
              </w:rPr>
            </w:pPr>
            <w:r w:rsidRPr="001A265C">
              <w:rPr>
                <w:rFonts w:ascii="Arial" w:hAnsi="Arial" w:cs="Arial"/>
              </w:rPr>
              <w:t>16%</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3%</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1200</w:t>
            </w:r>
          </w:p>
        </w:tc>
        <w:tc>
          <w:tcPr>
            <w:tcW w:w="900" w:type="dxa"/>
          </w:tcPr>
          <w:p w:rsidR="001A7847" w:rsidRPr="001A265C" w:rsidRDefault="001A7847" w:rsidP="00FD0052">
            <w:pPr>
              <w:jc w:val="center"/>
              <w:rPr>
                <w:rFonts w:ascii="Arial" w:hAnsi="Arial" w:cs="Arial"/>
              </w:rPr>
            </w:pPr>
            <w:r w:rsidRPr="001A265C">
              <w:rPr>
                <w:rFonts w:ascii="Arial" w:hAnsi="Arial" w:cs="Arial"/>
              </w:rPr>
              <w:t>15%</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3%</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1300</w:t>
            </w:r>
          </w:p>
        </w:tc>
        <w:tc>
          <w:tcPr>
            <w:tcW w:w="1080" w:type="dxa"/>
          </w:tcPr>
          <w:p w:rsidR="001A7847" w:rsidRPr="001A265C" w:rsidRDefault="001A7847" w:rsidP="00FD0052">
            <w:pPr>
              <w:jc w:val="center"/>
              <w:rPr>
                <w:rFonts w:ascii="Arial" w:hAnsi="Arial" w:cs="Arial"/>
              </w:rPr>
            </w:pPr>
            <w:r w:rsidRPr="001A265C">
              <w:rPr>
                <w:rFonts w:ascii="Arial" w:hAnsi="Arial" w:cs="Arial"/>
              </w:rPr>
              <w:t>15%</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3%</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1500</w:t>
            </w:r>
          </w:p>
        </w:tc>
        <w:tc>
          <w:tcPr>
            <w:tcW w:w="1080" w:type="dxa"/>
          </w:tcPr>
          <w:p w:rsidR="001A7847" w:rsidRPr="001A265C" w:rsidRDefault="001A7847" w:rsidP="00FD0052">
            <w:pPr>
              <w:jc w:val="center"/>
              <w:rPr>
                <w:rFonts w:ascii="Arial" w:hAnsi="Arial" w:cs="Arial"/>
              </w:rPr>
            </w:pPr>
            <w:r w:rsidRPr="001A265C">
              <w:rPr>
                <w:rFonts w:ascii="Arial" w:hAnsi="Arial" w:cs="Arial"/>
              </w:rPr>
              <w:t>13%</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2%</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1500</w:t>
            </w:r>
          </w:p>
        </w:tc>
        <w:tc>
          <w:tcPr>
            <w:tcW w:w="932" w:type="dxa"/>
          </w:tcPr>
          <w:p w:rsidR="001A7847" w:rsidRPr="001A265C" w:rsidRDefault="001A7847" w:rsidP="00FD0052">
            <w:pPr>
              <w:jc w:val="center"/>
              <w:rPr>
                <w:rFonts w:ascii="Arial" w:hAnsi="Arial" w:cs="Arial"/>
              </w:rPr>
            </w:pPr>
            <w:r w:rsidRPr="001A265C">
              <w:rPr>
                <w:rFonts w:ascii="Arial" w:hAnsi="Arial" w:cs="Arial"/>
              </w:rPr>
              <w:t>11%</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2%</w:t>
            </w:r>
          </w:p>
          <w:p w:rsidR="001A7847" w:rsidRPr="001A265C" w:rsidRDefault="001A7847" w:rsidP="00FD0052">
            <w:pPr>
              <w:jc w:val="center"/>
              <w:rPr>
                <w:rFonts w:ascii="Arial" w:hAnsi="Arial" w:cs="Arial"/>
              </w:rPr>
            </w:pPr>
          </w:p>
          <w:p w:rsidR="001A7847" w:rsidRPr="001A265C" w:rsidRDefault="001A7847" w:rsidP="00FD0052">
            <w:pPr>
              <w:jc w:val="center"/>
              <w:rPr>
                <w:rFonts w:ascii="Arial" w:hAnsi="Arial" w:cs="Arial"/>
              </w:rPr>
            </w:pPr>
            <w:r w:rsidRPr="001A265C">
              <w:rPr>
                <w:rFonts w:ascii="Arial" w:hAnsi="Arial" w:cs="Arial"/>
              </w:rPr>
              <w:t>1500</w:t>
            </w:r>
          </w:p>
        </w:tc>
      </w:tr>
    </w:tbl>
    <w:p w:rsidR="001A7847" w:rsidRPr="0007125D" w:rsidRDefault="001A7847" w:rsidP="001A7847">
      <w:pPr>
        <w:rPr>
          <w:rFonts w:ascii="Arial" w:hAnsi="Arial" w:cs="Arial"/>
          <w:b/>
          <w:bCs/>
          <w:i/>
          <w:iCs/>
          <w:u w:val="single"/>
        </w:rPr>
      </w:pPr>
    </w:p>
    <w:p w:rsidR="001A7847" w:rsidRPr="0007125D" w:rsidRDefault="001A7847" w:rsidP="001A7847">
      <w:pPr>
        <w:rPr>
          <w:rFonts w:ascii="Arial" w:hAnsi="Arial" w:cs="Arial"/>
          <w:b/>
          <w:bCs/>
          <w:i/>
          <w:iCs/>
          <w:u w:val="single"/>
        </w:rPr>
      </w:pPr>
    </w:p>
    <w:p w:rsidR="001A7847" w:rsidRPr="0007125D" w:rsidRDefault="001A7847" w:rsidP="001A7847">
      <w:pPr>
        <w:rPr>
          <w:rFonts w:ascii="Arial" w:hAnsi="Arial" w:cs="Arial"/>
          <w:b/>
          <w:bCs/>
          <w:i/>
          <w:iCs/>
          <w:u w:val="single"/>
        </w:rPr>
      </w:pPr>
    </w:p>
    <w:p w:rsidR="001A7847" w:rsidRPr="0007125D" w:rsidRDefault="001A7847" w:rsidP="001A7847">
      <w:pPr>
        <w:rPr>
          <w:rFonts w:ascii="Arial" w:hAnsi="Arial" w:cs="Arial"/>
          <w:b/>
          <w:bCs/>
          <w:i/>
          <w:iCs/>
          <w:u w:val="single"/>
        </w:rPr>
      </w:pPr>
      <w:r w:rsidRPr="0007125D">
        <w:rPr>
          <w:rFonts w:ascii="Arial" w:hAnsi="Arial" w:cs="Arial"/>
          <w:b/>
          <w:bCs/>
          <w:i/>
          <w:iCs/>
          <w:u w:val="single"/>
        </w:rPr>
        <w:t>Annexe 3 – informations diverses :</w:t>
      </w:r>
    </w:p>
    <w:p w:rsidR="001A7847" w:rsidRPr="0007125D" w:rsidRDefault="001A7847" w:rsidP="001A7847">
      <w:pPr>
        <w:numPr>
          <w:ilvl w:val="0"/>
          <w:numId w:val="2"/>
        </w:numPr>
        <w:jc w:val="both"/>
        <w:rPr>
          <w:rFonts w:ascii="Arial" w:hAnsi="Arial" w:cs="Arial"/>
        </w:rPr>
      </w:pPr>
      <w:r w:rsidRPr="0007125D">
        <w:rPr>
          <w:rFonts w:ascii="Arial" w:hAnsi="Arial" w:cs="Arial"/>
        </w:rPr>
        <w:t>L’exploitation du projet envisagé impliquerait l’engagement au début de chaque année d’un BFR évalué à 72 jours de CAHT. Précisons que cette estimation est exclusivement imputable au projet.</w:t>
      </w:r>
    </w:p>
    <w:p w:rsidR="001A7847" w:rsidRPr="0007125D" w:rsidRDefault="001A7847" w:rsidP="001A7847">
      <w:pPr>
        <w:numPr>
          <w:ilvl w:val="0"/>
          <w:numId w:val="2"/>
        </w:numPr>
        <w:jc w:val="both"/>
        <w:rPr>
          <w:rFonts w:ascii="Arial" w:hAnsi="Arial" w:cs="Arial"/>
        </w:rPr>
      </w:pPr>
      <w:r w:rsidRPr="0007125D">
        <w:rPr>
          <w:rFonts w:ascii="Arial" w:hAnsi="Arial" w:cs="Arial"/>
        </w:rPr>
        <w:t>La structure financière préconisée par l’entreprise se compose de capitaux propres pour 35% et de dettes financières pour le reste.</w:t>
      </w:r>
    </w:p>
    <w:p w:rsidR="001A7847" w:rsidRPr="0007125D" w:rsidRDefault="001A7847" w:rsidP="001A7847">
      <w:pPr>
        <w:numPr>
          <w:ilvl w:val="0"/>
          <w:numId w:val="2"/>
        </w:numPr>
        <w:jc w:val="both"/>
        <w:rPr>
          <w:rFonts w:ascii="Arial" w:hAnsi="Arial" w:cs="Arial"/>
        </w:rPr>
      </w:pPr>
      <w:r w:rsidRPr="0007125D">
        <w:rPr>
          <w:rFonts w:ascii="Arial" w:hAnsi="Arial" w:cs="Arial"/>
        </w:rPr>
        <w:t>Les actionnaires de la société exigent d’habitude un taux de rendement de 12</w:t>
      </w:r>
      <w:proofErr w:type="gramStart"/>
      <w:r w:rsidRPr="0007125D">
        <w:rPr>
          <w:rFonts w:ascii="Arial" w:hAnsi="Arial" w:cs="Arial"/>
        </w:rPr>
        <w:t>% .</w:t>
      </w:r>
      <w:proofErr w:type="gramEnd"/>
      <w:r w:rsidRPr="0007125D">
        <w:rPr>
          <w:rFonts w:ascii="Arial" w:hAnsi="Arial" w:cs="Arial"/>
        </w:rPr>
        <w:t xml:space="preserve"> Cependant, ils estiment que le projet prévu comporte un risque relativement  élevé. Par conséquent, ils recommandent une prime supplémentaire de 3%.</w:t>
      </w:r>
    </w:p>
    <w:p w:rsidR="001A7847" w:rsidRPr="0007125D" w:rsidRDefault="001A7847" w:rsidP="001A7847">
      <w:pPr>
        <w:numPr>
          <w:ilvl w:val="0"/>
          <w:numId w:val="2"/>
        </w:numPr>
        <w:jc w:val="both"/>
        <w:rPr>
          <w:rFonts w:ascii="Arial" w:hAnsi="Arial" w:cs="Arial"/>
        </w:rPr>
      </w:pPr>
      <w:r w:rsidRPr="0007125D">
        <w:rPr>
          <w:rFonts w:ascii="Arial" w:hAnsi="Arial" w:cs="Arial"/>
        </w:rPr>
        <w:t>Le coût moyen avant impôt des dettes de financement est estimé à 13.61%.</w:t>
      </w:r>
    </w:p>
    <w:p w:rsidR="001A7847" w:rsidRPr="0007125D" w:rsidRDefault="001A7847" w:rsidP="001A7847">
      <w:pPr>
        <w:numPr>
          <w:ilvl w:val="0"/>
          <w:numId w:val="2"/>
        </w:numPr>
        <w:jc w:val="both"/>
        <w:rPr>
          <w:rFonts w:ascii="Arial" w:hAnsi="Arial" w:cs="Arial"/>
        </w:rPr>
      </w:pPr>
      <w:r w:rsidRPr="0007125D">
        <w:rPr>
          <w:rFonts w:ascii="Arial" w:hAnsi="Arial" w:cs="Arial"/>
        </w:rPr>
        <w:t>La direction de la société suggère de retenir le coût de capital comme taux d’actualisation des flux induits par le projet.</w:t>
      </w:r>
    </w:p>
    <w:p w:rsidR="001A7847" w:rsidRPr="0007125D" w:rsidRDefault="001A7847" w:rsidP="001A7847">
      <w:pPr>
        <w:numPr>
          <w:ilvl w:val="0"/>
          <w:numId w:val="2"/>
        </w:numPr>
        <w:jc w:val="both"/>
        <w:rPr>
          <w:rFonts w:ascii="Arial" w:hAnsi="Arial" w:cs="Arial"/>
        </w:rPr>
      </w:pPr>
      <w:r w:rsidRPr="0007125D">
        <w:rPr>
          <w:rFonts w:ascii="Arial" w:hAnsi="Arial" w:cs="Arial"/>
        </w:rPr>
        <w:t xml:space="preserve">Le prix de vente prévisionnel d’une paire de lunette est estimé à 200 </w:t>
      </w:r>
      <w:proofErr w:type="spellStart"/>
      <w:r w:rsidRPr="0007125D">
        <w:rPr>
          <w:rFonts w:ascii="Arial" w:hAnsi="Arial" w:cs="Arial"/>
        </w:rPr>
        <w:t>Dh</w:t>
      </w:r>
      <w:proofErr w:type="spellEnd"/>
      <w:r w:rsidRPr="0007125D">
        <w:rPr>
          <w:rFonts w:ascii="Arial" w:hAnsi="Arial" w:cs="Arial"/>
        </w:rPr>
        <w:t xml:space="preserve"> (HT).</w:t>
      </w:r>
    </w:p>
    <w:p w:rsidR="001A7847" w:rsidRPr="0007125D" w:rsidRDefault="001A7847" w:rsidP="001A7847">
      <w:pPr>
        <w:numPr>
          <w:ilvl w:val="0"/>
          <w:numId w:val="2"/>
        </w:numPr>
        <w:jc w:val="both"/>
        <w:rPr>
          <w:rFonts w:ascii="Arial" w:hAnsi="Arial" w:cs="Arial"/>
        </w:rPr>
      </w:pPr>
      <w:r w:rsidRPr="0007125D">
        <w:rPr>
          <w:rFonts w:ascii="Arial" w:hAnsi="Arial" w:cs="Arial"/>
        </w:rPr>
        <w:t>la valeur résiduelle du projet devrait comprendre les valeurs t</w:t>
      </w:r>
      <w:r>
        <w:rPr>
          <w:rFonts w:ascii="Arial" w:hAnsi="Arial" w:cs="Arial"/>
        </w:rPr>
        <w:t>erminales des immobilisations (</w:t>
      </w:r>
      <w:proofErr w:type="spellStart"/>
      <w:r w:rsidRPr="0007125D">
        <w:rPr>
          <w:rFonts w:ascii="Arial" w:hAnsi="Arial" w:cs="Arial"/>
        </w:rPr>
        <w:t>Cf</w:t>
      </w:r>
      <w:proofErr w:type="spellEnd"/>
      <w:r w:rsidRPr="0007125D">
        <w:rPr>
          <w:rFonts w:ascii="Arial" w:hAnsi="Arial" w:cs="Arial"/>
        </w:rPr>
        <w:t xml:space="preserve"> annexe 1) auxquelles on ajouterait la récupération des BFR</w:t>
      </w:r>
    </w:p>
    <w:p w:rsidR="001A7847" w:rsidRPr="0007125D" w:rsidRDefault="001A7847" w:rsidP="001A7847">
      <w:pPr>
        <w:numPr>
          <w:ilvl w:val="0"/>
          <w:numId w:val="2"/>
        </w:numPr>
        <w:jc w:val="both"/>
        <w:rPr>
          <w:rFonts w:ascii="Arial" w:hAnsi="Arial" w:cs="Arial"/>
        </w:rPr>
      </w:pPr>
      <w:r w:rsidRPr="0007125D">
        <w:rPr>
          <w:rFonts w:ascii="Arial" w:hAnsi="Arial" w:cs="Arial"/>
        </w:rPr>
        <w:t>L’amortissement des immobilisations sera constaté à partir de leur date de mise en service.</w:t>
      </w:r>
    </w:p>
    <w:p w:rsidR="001A7847" w:rsidRPr="0007125D" w:rsidRDefault="001A7847" w:rsidP="001A7847">
      <w:pPr>
        <w:numPr>
          <w:ilvl w:val="0"/>
          <w:numId w:val="2"/>
        </w:numPr>
        <w:jc w:val="both"/>
        <w:rPr>
          <w:rFonts w:ascii="Arial" w:hAnsi="Arial" w:cs="Arial"/>
        </w:rPr>
      </w:pPr>
      <w:r w:rsidRPr="0007125D">
        <w:rPr>
          <w:rFonts w:ascii="Arial" w:hAnsi="Arial" w:cs="Arial"/>
        </w:rPr>
        <w:t>La société est assujettie à l’IS au taux de 35%.</w:t>
      </w:r>
    </w:p>
    <w:p w:rsidR="001A7847" w:rsidRPr="0007125D" w:rsidRDefault="001A7847" w:rsidP="001A7847">
      <w:pPr>
        <w:ind w:left="360"/>
        <w:jc w:val="both"/>
        <w:rPr>
          <w:rFonts w:ascii="Arial" w:hAnsi="Arial" w:cs="Arial"/>
        </w:rPr>
      </w:pPr>
    </w:p>
    <w:p w:rsidR="001A7847" w:rsidRPr="0007125D" w:rsidRDefault="001A7847" w:rsidP="001A7847">
      <w:pPr>
        <w:pBdr>
          <w:top w:val="single" w:sz="4" w:space="1" w:color="auto"/>
          <w:left w:val="single" w:sz="4" w:space="4" w:color="auto"/>
          <w:bottom w:val="single" w:sz="4" w:space="1" w:color="auto"/>
          <w:right w:val="single" w:sz="4" w:space="4" w:color="auto"/>
        </w:pBdr>
        <w:ind w:left="360"/>
        <w:rPr>
          <w:rFonts w:ascii="Arial" w:hAnsi="Arial" w:cs="Arial"/>
          <w:b/>
          <w:bCs/>
          <w:u w:val="single"/>
        </w:rPr>
      </w:pPr>
      <w:r w:rsidRPr="0007125D">
        <w:rPr>
          <w:rFonts w:ascii="Arial" w:hAnsi="Arial" w:cs="Arial"/>
          <w:b/>
          <w:bCs/>
          <w:u w:val="single"/>
        </w:rPr>
        <w:t>TAF</w:t>
      </w:r>
    </w:p>
    <w:p w:rsidR="001A7847" w:rsidRPr="0007125D" w:rsidRDefault="001A7847" w:rsidP="001A7847">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bCs/>
        </w:rPr>
      </w:pPr>
      <w:r w:rsidRPr="0007125D">
        <w:rPr>
          <w:rFonts w:ascii="Arial" w:hAnsi="Arial" w:cs="Arial"/>
          <w:b/>
          <w:bCs/>
        </w:rPr>
        <w:t xml:space="preserve">Déterminer le coût du capital de la société </w:t>
      </w:r>
      <w:r>
        <w:rPr>
          <w:rFonts w:ascii="Arial" w:hAnsi="Arial" w:cs="Arial"/>
          <w:b/>
          <w:bCs/>
        </w:rPr>
        <w:t>LUXOPTIC</w:t>
      </w:r>
      <w:r w:rsidRPr="0007125D">
        <w:rPr>
          <w:rFonts w:ascii="Arial" w:hAnsi="Arial" w:cs="Arial"/>
          <w:b/>
          <w:bCs/>
        </w:rPr>
        <w:t>.</w:t>
      </w:r>
    </w:p>
    <w:p w:rsidR="001A7847" w:rsidRPr="0007125D" w:rsidRDefault="001A7847" w:rsidP="001A7847">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bCs/>
        </w:rPr>
      </w:pPr>
      <w:r w:rsidRPr="0007125D">
        <w:rPr>
          <w:rFonts w:ascii="Arial" w:hAnsi="Arial" w:cs="Arial"/>
          <w:b/>
          <w:bCs/>
        </w:rPr>
        <w:t>Calculer le capital à investir dans le projet.</w:t>
      </w:r>
    </w:p>
    <w:p w:rsidR="001A7847" w:rsidRPr="0007125D" w:rsidRDefault="001A7847" w:rsidP="001A7847">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bCs/>
        </w:rPr>
      </w:pPr>
      <w:r w:rsidRPr="0007125D">
        <w:rPr>
          <w:rFonts w:ascii="Arial" w:hAnsi="Arial" w:cs="Arial"/>
          <w:b/>
          <w:bCs/>
        </w:rPr>
        <w:t>Déterminer les flux de trésorerie imputables à l’exploitation du projet (CF et VR)</w:t>
      </w:r>
    </w:p>
    <w:p w:rsidR="001A7847" w:rsidRPr="0007125D" w:rsidRDefault="001A7847" w:rsidP="001A7847">
      <w:pPr>
        <w:numPr>
          <w:ilvl w:val="0"/>
          <w:numId w:val="3"/>
        </w:numPr>
        <w:pBdr>
          <w:top w:val="single" w:sz="4" w:space="1" w:color="auto"/>
          <w:left w:val="single" w:sz="4" w:space="4" w:color="auto"/>
          <w:bottom w:val="single" w:sz="4" w:space="1" w:color="auto"/>
          <w:right w:val="single" w:sz="4" w:space="4" w:color="auto"/>
        </w:pBdr>
        <w:jc w:val="both"/>
        <w:rPr>
          <w:rFonts w:ascii="Arial" w:hAnsi="Arial" w:cs="Arial"/>
          <w:b/>
          <w:bCs/>
        </w:rPr>
      </w:pPr>
      <w:r w:rsidRPr="0007125D">
        <w:rPr>
          <w:rFonts w:ascii="Arial" w:hAnsi="Arial" w:cs="Arial"/>
          <w:b/>
          <w:bCs/>
        </w:rPr>
        <w:t>Evaluer la rentabilité du projet en utilisant les critères de la VAN et du TRI. Conclure</w:t>
      </w:r>
    </w:p>
    <w:p w:rsidR="001A7847" w:rsidRPr="0007125D" w:rsidRDefault="001A7847" w:rsidP="001A7847">
      <w:pPr>
        <w:ind w:left="960"/>
        <w:rPr>
          <w:rFonts w:ascii="Arial" w:hAnsi="Arial" w:cs="Arial"/>
          <w:b/>
          <w:bCs/>
        </w:rPr>
      </w:pPr>
    </w:p>
    <w:p w:rsidR="00AD666C" w:rsidRDefault="00AD666C"/>
    <w:sectPr w:rsidR="00AD666C" w:rsidSect="001E5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33BE"/>
    <w:multiLevelType w:val="hybridMultilevel"/>
    <w:tmpl w:val="721617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5CF0188"/>
    <w:multiLevelType w:val="hybridMultilevel"/>
    <w:tmpl w:val="D4821970"/>
    <w:lvl w:ilvl="0" w:tplc="040C000F">
      <w:start w:val="1"/>
      <w:numFmt w:val="decimal"/>
      <w:lvlText w:val="%1."/>
      <w:lvlJc w:val="left"/>
      <w:pPr>
        <w:tabs>
          <w:tab w:val="num" w:pos="1320"/>
        </w:tabs>
        <w:ind w:left="1320" w:hanging="360"/>
      </w:p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2">
    <w:nsid w:val="69FE0EC1"/>
    <w:multiLevelType w:val="hybridMultilevel"/>
    <w:tmpl w:val="0DFCDAE2"/>
    <w:lvl w:ilvl="0" w:tplc="040C0001">
      <w:start w:val="1"/>
      <w:numFmt w:val="bullet"/>
      <w:lvlText w:val=""/>
      <w:lvlJc w:val="left"/>
      <w:pPr>
        <w:tabs>
          <w:tab w:val="num" w:pos="1560"/>
        </w:tabs>
        <w:ind w:left="1560" w:hanging="360"/>
      </w:pPr>
      <w:rPr>
        <w:rFonts w:ascii="Symbol" w:hAnsi="Symbol" w:hint="default"/>
      </w:rPr>
    </w:lvl>
    <w:lvl w:ilvl="1" w:tplc="040C0003" w:tentative="1">
      <w:start w:val="1"/>
      <w:numFmt w:val="bullet"/>
      <w:lvlText w:val="o"/>
      <w:lvlJc w:val="left"/>
      <w:pPr>
        <w:tabs>
          <w:tab w:val="num" w:pos="2280"/>
        </w:tabs>
        <w:ind w:left="2280" w:hanging="360"/>
      </w:pPr>
      <w:rPr>
        <w:rFonts w:ascii="Courier New" w:hAnsi="Courier New" w:cs="Courier New" w:hint="default"/>
      </w:rPr>
    </w:lvl>
    <w:lvl w:ilvl="2" w:tplc="040C0005" w:tentative="1">
      <w:start w:val="1"/>
      <w:numFmt w:val="bullet"/>
      <w:lvlText w:val=""/>
      <w:lvlJc w:val="left"/>
      <w:pPr>
        <w:tabs>
          <w:tab w:val="num" w:pos="3000"/>
        </w:tabs>
        <w:ind w:left="3000" w:hanging="360"/>
      </w:pPr>
      <w:rPr>
        <w:rFonts w:ascii="Wingdings" w:hAnsi="Wingdings" w:hint="default"/>
      </w:rPr>
    </w:lvl>
    <w:lvl w:ilvl="3" w:tplc="040C0001" w:tentative="1">
      <w:start w:val="1"/>
      <w:numFmt w:val="bullet"/>
      <w:lvlText w:val=""/>
      <w:lvlJc w:val="left"/>
      <w:pPr>
        <w:tabs>
          <w:tab w:val="num" w:pos="3720"/>
        </w:tabs>
        <w:ind w:left="3720" w:hanging="360"/>
      </w:pPr>
      <w:rPr>
        <w:rFonts w:ascii="Symbol" w:hAnsi="Symbol" w:hint="default"/>
      </w:rPr>
    </w:lvl>
    <w:lvl w:ilvl="4" w:tplc="040C0003" w:tentative="1">
      <w:start w:val="1"/>
      <w:numFmt w:val="bullet"/>
      <w:lvlText w:val="o"/>
      <w:lvlJc w:val="left"/>
      <w:pPr>
        <w:tabs>
          <w:tab w:val="num" w:pos="4440"/>
        </w:tabs>
        <w:ind w:left="4440" w:hanging="360"/>
      </w:pPr>
      <w:rPr>
        <w:rFonts w:ascii="Courier New" w:hAnsi="Courier New" w:cs="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cs="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847"/>
    <w:rsid w:val="00037DE5"/>
    <w:rsid w:val="000A1CE2"/>
    <w:rsid w:val="001A7847"/>
    <w:rsid w:val="001E509E"/>
    <w:rsid w:val="00294873"/>
    <w:rsid w:val="0037115F"/>
    <w:rsid w:val="003C5CC0"/>
    <w:rsid w:val="00617E68"/>
    <w:rsid w:val="00626E58"/>
    <w:rsid w:val="006477C1"/>
    <w:rsid w:val="006E12DE"/>
    <w:rsid w:val="00800E85"/>
    <w:rsid w:val="00841A7C"/>
    <w:rsid w:val="008747E6"/>
    <w:rsid w:val="00A53183"/>
    <w:rsid w:val="00A53753"/>
    <w:rsid w:val="00A91644"/>
    <w:rsid w:val="00AD666C"/>
    <w:rsid w:val="00AF16F5"/>
    <w:rsid w:val="00B03881"/>
    <w:rsid w:val="00B15B77"/>
    <w:rsid w:val="00BA7DA0"/>
    <w:rsid w:val="00BE4DA3"/>
    <w:rsid w:val="00C745CA"/>
    <w:rsid w:val="00CF785A"/>
    <w:rsid w:val="00F649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47"/>
    <w:pPr>
      <w:spacing w:after="0" w:line="240" w:lineRule="auto"/>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2918</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2017-10-30T11:02:00Z</dcterms:created>
  <dcterms:modified xsi:type="dcterms:W3CDTF">2017-10-30T11:04:00Z</dcterms:modified>
</cp:coreProperties>
</file>